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D6" w:rsidRDefault="00D14B1A" w:rsidP="00D14B1A">
      <w:pPr>
        <w:jc w:val="center"/>
        <w:rPr>
          <w:b/>
        </w:rPr>
      </w:pPr>
      <w:r w:rsidRPr="00D14B1A">
        <w:rPr>
          <w:b/>
        </w:rPr>
        <w:t>Intellectual Property Law</w:t>
      </w:r>
    </w:p>
    <w:p w:rsidR="000E0AC6" w:rsidRPr="00D14B1A" w:rsidRDefault="000E0AC6" w:rsidP="00D14B1A">
      <w:pPr>
        <w:jc w:val="center"/>
        <w:rPr>
          <w:b/>
        </w:rPr>
      </w:pPr>
      <w:r>
        <w:rPr>
          <w:b/>
        </w:rPr>
        <w:t>Syllabus</w:t>
      </w:r>
    </w:p>
    <w:p w:rsidR="005A3F27" w:rsidRDefault="005A3F27" w:rsidP="000E0AC6">
      <w:pPr>
        <w:rPr>
          <w:b/>
        </w:rPr>
      </w:pPr>
    </w:p>
    <w:p w:rsidR="000E0AC6" w:rsidRDefault="000E0AC6" w:rsidP="000E0AC6">
      <w:pPr>
        <w:rPr>
          <w:b/>
        </w:rPr>
      </w:pPr>
      <w:r>
        <w:rPr>
          <w:b/>
        </w:rPr>
        <w:t>Learning Outcomes</w:t>
      </w:r>
      <w:r w:rsidRPr="006E1E71">
        <w:t>:</w:t>
      </w:r>
      <w:r>
        <w:t xml:space="preserve"> This course is intended to provide an overview of current intelle</w:t>
      </w:r>
      <w:r>
        <w:t>c</w:t>
      </w:r>
      <w:r>
        <w:t>tual property law and practice, including patents, trade secrets, trademarks, and cop</w:t>
      </w:r>
      <w:r>
        <w:t>y</w:t>
      </w:r>
      <w:r>
        <w:t>rights, via an analysis of the relevant case law and application of that case law in co</w:t>
      </w:r>
      <w:r>
        <w:t>n</w:t>
      </w:r>
      <w:r>
        <w:t>junction with the United States Code.</w:t>
      </w:r>
    </w:p>
    <w:p w:rsidR="000E0AC6" w:rsidRPr="00D14B1A" w:rsidRDefault="000E0AC6" w:rsidP="00D14B1A"/>
    <w:p w:rsidR="00D14B1A" w:rsidRDefault="00D14B1A" w:rsidP="00D14B1A">
      <w:r w:rsidRPr="00D14B1A">
        <w:rPr>
          <w:b/>
        </w:rPr>
        <w:t>Text</w:t>
      </w:r>
      <w:r w:rsidRPr="00D14B1A">
        <w:t xml:space="preserve">: </w:t>
      </w:r>
      <w:r w:rsidR="005D6403" w:rsidRPr="005D6403">
        <w:rPr>
          <w:i/>
        </w:rPr>
        <w:t>Intellectual Property, Cases and Materials</w:t>
      </w:r>
      <w:r w:rsidRPr="00D14B1A">
        <w:t xml:space="preserve">, </w:t>
      </w:r>
      <w:r w:rsidR="005D6403">
        <w:t>Fourth Edition, by David Lange, M. LaFrance, G. Meyers, and L.A. Lockridge. The following resources will also be useful:</w:t>
      </w:r>
    </w:p>
    <w:p w:rsidR="005D6403" w:rsidRDefault="005D6403" w:rsidP="005D6403">
      <w:pPr>
        <w:pStyle w:val="ListParagraph"/>
        <w:numPr>
          <w:ilvl w:val="0"/>
          <w:numId w:val="3"/>
        </w:numPr>
      </w:pPr>
      <w:r>
        <w:t xml:space="preserve">The Manual of Patent Examining Procedure (MPEP), available online at </w:t>
      </w:r>
      <w:hyperlink r:id="rId7" w:history="1">
        <w:r w:rsidRPr="00A56225">
          <w:rPr>
            <w:rStyle w:val="Hyperlink"/>
          </w:rPr>
          <w:t>https://www.uspto.gov/web/offices/pac/mpep/index.html</w:t>
        </w:r>
      </w:hyperlink>
    </w:p>
    <w:p w:rsidR="005D6403" w:rsidRDefault="005D6403" w:rsidP="005D6403">
      <w:pPr>
        <w:pStyle w:val="ListParagraph"/>
        <w:numPr>
          <w:ilvl w:val="0"/>
          <w:numId w:val="3"/>
        </w:numPr>
      </w:pPr>
      <w:r>
        <w:t xml:space="preserve">The Manal of Trademark Examining Procedure (TMEP), available online at </w:t>
      </w:r>
      <w:hyperlink r:id="rId8" w:history="1">
        <w:r w:rsidRPr="00A56225">
          <w:rPr>
            <w:rStyle w:val="Hyperlink"/>
          </w:rPr>
          <w:t>https://tmep.uspto.gov/RDMS/TMEP/current</w:t>
        </w:r>
      </w:hyperlink>
    </w:p>
    <w:p w:rsidR="005D6403" w:rsidRDefault="005D6403" w:rsidP="005D6403">
      <w:pPr>
        <w:pStyle w:val="ListParagraph"/>
        <w:numPr>
          <w:ilvl w:val="0"/>
          <w:numId w:val="3"/>
        </w:numPr>
      </w:pPr>
      <w:r>
        <w:t xml:space="preserve">The Compendium of U.S. Copyright Office Practices, Third Edition, available online at </w:t>
      </w:r>
      <w:hyperlink r:id="rId9" w:history="1">
        <w:r w:rsidR="006E1E71" w:rsidRPr="00A56225">
          <w:rPr>
            <w:rStyle w:val="Hyperlink"/>
          </w:rPr>
          <w:t>https://www.copyright.gov/comp3/comp-index.html</w:t>
        </w:r>
      </w:hyperlink>
    </w:p>
    <w:p w:rsidR="00D14B1A" w:rsidRPr="00D14B1A" w:rsidRDefault="00D14B1A" w:rsidP="00D14B1A"/>
    <w:p w:rsidR="006E1E71" w:rsidRDefault="00D14B1A" w:rsidP="006E1E71">
      <w:pPr>
        <w:rPr>
          <w:bCs/>
        </w:rPr>
      </w:pPr>
      <w:r w:rsidRPr="00D14B1A">
        <w:rPr>
          <w:b/>
        </w:rPr>
        <w:t>Homework and Participation</w:t>
      </w:r>
      <w:r w:rsidRPr="00D14B1A">
        <w:t xml:space="preserve">: This will be a discussion-based course. </w:t>
      </w:r>
      <w:r>
        <w:rPr>
          <w:bCs/>
        </w:rPr>
        <w:t>As required by ABA Standard 310, i</w:t>
      </w:r>
      <w:r w:rsidRPr="00D14B1A">
        <w:rPr>
          <w:bCs/>
        </w:rPr>
        <w:t>t is expected that you will devote at least six hours, on average, t</w:t>
      </w:r>
      <w:r>
        <w:rPr>
          <w:bCs/>
        </w:rPr>
        <w:t>o preparation outside of this three unit</w:t>
      </w:r>
      <w:r w:rsidR="006E1E71">
        <w:rPr>
          <w:bCs/>
        </w:rPr>
        <w:t xml:space="preserve"> class.</w:t>
      </w:r>
    </w:p>
    <w:p w:rsidR="006E1E71" w:rsidRDefault="006E1E71" w:rsidP="006E1E71">
      <w:pPr>
        <w:rPr>
          <w:bCs/>
        </w:rPr>
      </w:pPr>
    </w:p>
    <w:p w:rsidR="006E1E71" w:rsidRDefault="006E1E71" w:rsidP="006E1E71">
      <w:pPr>
        <w:rPr>
          <w:bCs/>
        </w:rPr>
      </w:pPr>
      <w:r w:rsidRPr="006E1E71">
        <w:rPr>
          <w:b/>
          <w:bCs/>
        </w:rPr>
        <w:t>Grading and Final Exam</w:t>
      </w:r>
      <w:r>
        <w:rPr>
          <w:bCs/>
        </w:rPr>
        <w:t>: Grading for the course will be based on in-class participation (10%) and a final exam (90%). The final exam will be three hours.</w:t>
      </w:r>
    </w:p>
    <w:p w:rsidR="005A3F27" w:rsidRDefault="005A3F27">
      <w:pPr>
        <w:spacing w:after="160" w:line="259" w:lineRule="auto"/>
        <w:jc w:val="left"/>
        <w:rPr>
          <w:rFonts w:cs="Arial"/>
          <w:bCs/>
        </w:rPr>
      </w:pPr>
    </w:p>
    <w:p w:rsidR="005A3F27" w:rsidRPr="00D14B1A" w:rsidRDefault="005A3F27" w:rsidP="005A3F27">
      <w:r w:rsidRPr="00D14B1A">
        <w:rPr>
          <w:b/>
        </w:rPr>
        <w:t>Contact</w:t>
      </w:r>
      <w:r w:rsidRPr="00D14B1A">
        <w:t xml:space="preserve">: </w:t>
      </w:r>
      <w:r>
        <w:t xml:space="preserve">Pat Richey, </w:t>
      </w:r>
      <w:r w:rsidRPr="00D14B1A">
        <w:t>pat.richey@</w:t>
      </w:r>
      <w:r>
        <w:t>live</w:t>
      </w:r>
      <w:r w:rsidRPr="00D14B1A">
        <w:t>.com</w:t>
      </w:r>
    </w:p>
    <w:p w:rsidR="000E0AC6" w:rsidRDefault="000E0AC6">
      <w:pPr>
        <w:spacing w:after="160" w:line="259" w:lineRule="auto"/>
        <w:jc w:val="left"/>
        <w:rPr>
          <w:rFonts w:cs="Arial"/>
          <w:bCs/>
        </w:rPr>
      </w:pPr>
      <w:r>
        <w:rPr>
          <w:rFonts w:cs="Arial"/>
          <w:bCs/>
        </w:rPr>
        <w:br w:type="page"/>
      </w:r>
    </w:p>
    <w:p w:rsidR="000E0AC6" w:rsidRPr="00441D13" w:rsidRDefault="000E0AC6" w:rsidP="006E1E71">
      <w:pPr>
        <w:rPr>
          <w:rFonts w:cs="Arial"/>
          <w:bCs/>
          <w:u w:val="single"/>
        </w:rPr>
      </w:pPr>
      <w:r w:rsidRPr="00441D13">
        <w:rPr>
          <w:rFonts w:cs="Arial"/>
          <w:bCs/>
          <w:u w:val="single"/>
        </w:rPr>
        <w:lastRenderedPageBreak/>
        <w:t>Week 1 (January 18, 2017)</w:t>
      </w:r>
    </w:p>
    <w:p w:rsidR="00911379" w:rsidRDefault="00911379" w:rsidP="00911379">
      <w:pPr>
        <w:pStyle w:val="ListParagraph"/>
        <w:numPr>
          <w:ilvl w:val="0"/>
          <w:numId w:val="3"/>
        </w:numPr>
        <w:rPr>
          <w:rFonts w:cs="Arial"/>
          <w:bCs/>
        </w:rPr>
      </w:pPr>
      <w:r>
        <w:rPr>
          <w:rFonts w:cs="Arial"/>
          <w:bCs/>
        </w:rPr>
        <w:t>Introductions and Course Overview</w:t>
      </w:r>
    </w:p>
    <w:p w:rsidR="00911379" w:rsidRDefault="00911379" w:rsidP="00911379">
      <w:pPr>
        <w:pStyle w:val="ListParagraph"/>
        <w:numPr>
          <w:ilvl w:val="0"/>
          <w:numId w:val="3"/>
        </w:numPr>
        <w:rPr>
          <w:rFonts w:cs="Arial"/>
          <w:bCs/>
        </w:rPr>
      </w:pPr>
      <w:r>
        <w:rPr>
          <w:rFonts w:cs="Arial"/>
          <w:bCs/>
        </w:rPr>
        <w:t>What is Intellectual Property?</w:t>
      </w:r>
    </w:p>
    <w:p w:rsidR="00911379" w:rsidRDefault="00911379" w:rsidP="00911379">
      <w:pPr>
        <w:pStyle w:val="ListParagraph"/>
        <w:numPr>
          <w:ilvl w:val="1"/>
          <w:numId w:val="3"/>
        </w:numPr>
        <w:rPr>
          <w:rFonts w:cs="Arial"/>
          <w:bCs/>
        </w:rPr>
      </w:pPr>
      <w:r>
        <w:rPr>
          <w:rFonts w:cs="Arial"/>
          <w:bCs/>
        </w:rPr>
        <w:t>Chapter 2, pp. 32 – 38</w:t>
      </w:r>
    </w:p>
    <w:p w:rsidR="00911379" w:rsidRDefault="00911379" w:rsidP="00911379">
      <w:pPr>
        <w:pStyle w:val="ListParagraph"/>
        <w:numPr>
          <w:ilvl w:val="1"/>
          <w:numId w:val="3"/>
        </w:numPr>
        <w:rPr>
          <w:rFonts w:cs="Arial"/>
          <w:bCs/>
        </w:rPr>
      </w:pPr>
      <w:r>
        <w:rPr>
          <w:rFonts w:cs="Arial"/>
          <w:bCs/>
        </w:rPr>
        <w:t>Chapter 9, pp. 372 – 391</w:t>
      </w:r>
    </w:p>
    <w:p w:rsidR="00911379" w:rsidRDefault="00911379" w:rsidP="00911379">
      <w:pPr>
        <w:pStyle w:val="ListParagraph"/>
        <w:numPr>
          <w:ilvl w:val="1"/>
          <w:numId w:val="3"/>
        </w:numPr>
        <w:rPr>
          <w:rFonts w:cs="Arial"/>
          <w:bCs/>
        </w:rPr>
      </w:pPr>
      <w:r>
        <w:rPr>
          <w:rFonts w:cs="Arial"/>
          <w:bCs/>
        </w:rPr>
        <w:t>Chapter 11, pp. 440 – 443</w:t>
      </w:r>
    </w:p>
    <w:p w:rsidR="00911379" w:rsidRPr="00911379" w:rsidRDefault="00911379" w:rsidP="00911379">
      <w:pPr>
        <w:pStyle w:val="ListParagraph"/>
        <w:numPr>
          <w:ilvl w:val="1"/>
          <w:numId w:val="3"/>
        </w:numPr>
        <w:rPr>
          <w:rFonts w:cs="Arial"/>
          <w:bCs/>
        </w:rPr>
      </w:pPr>
      <w:r>
        <w:rPr>
          <w:rFonts w:cs="Arial"/>
          <w:bCs/>
        </w:rPr>
        <w:t>Chapter 16, p. 887</w:t>
      </w:r>
    </w:p>
    <w:p w:rsidR="000E0AC6" w:rsidRDefault="000E0AC6" w:rsidP="000E0AC6">
      <w:pPr>
        <w:pStyle w:val="ListParagraph"/>
        <w:numPr>
          <w:ilvl w:val="0"/>
          <w:numId w:val="3"/>
        </w:numPr>
        <w:rPr>
          <w:rFonts w:cs="Arial"/>
          <w:bCs/>
        </w:rPr>
      </w:pPr>
      <w:r>
        <w:rPr>
          <w:rFonts w:cs="Arial"/>
          <w:bCs/>
        </w:rPr>
        <w:t>Justifications for IP</w:t>
      </w:r>
    </w:p>
    <w:p w:rsidR="000E0AC6" w:rsidRDefault="000E0AC6" w:rsidP="000E0AC6">
      <w:pPr>
        <w:pStyle w:val="ListParagraph"/>
        <w:numPr>
          <w:ilvl w:val="1"/>
          <w:numId w:val="3"/>
        </w:numPr>
        <w:rPr>
          <w:rFonts w:cs="Arial"/>
          <w:bCs/>
        </w:rPr>
      </w:pPr>
      <w:r>
        <w:rPr>
          <w:rFonts w:cs="Arial"/>
          <w:bCs/>
        </w:rPr>
        <w:t>Chapter 1, pp. 2 – 31</w:t>
      </w:r>
    </w:p>
    <w:p w:rsidR="00441D13" w:rsidRDefault="00441D13" w:rsidP="006E1E71">
      <w:pPr>
        <w:rPr>
          <w:rFonts w:cs="Arial"/>
          <w:bCs/>
        </w:rPr>
      </w:pPr>
    </w:p>
    <w:p w:rsidR="000E0AC6" w:rsidRPr="00441D13" w:rsidRDefault="000E0AC6" w:rsidP="006E1E71">
      <w:pPr>
        <w:rPr>
          <w:rFonts w:cs="Arial"/>
          <w:bCs/>
          <w:u w:val="single"/>
        </w:rPr>
      </w:pPr>
      <w:r w:rsidRPr="00441D13">
        <w:rPr>
          <w:rFonts w:cs="Arial"/>
          <w:bCs/>
          <w:u w:val="single"/>
        </w:rPr>
        <w:t>Week 2 (January 25</w:t>
      </w:r>
      <w:r w:rsidR="00441D13" w:rsidRPr="00441D13">
        <w:rPr>
          <w:rFonts w:cs="Arial"/>
          <w:bCs/>
          <w:u w:val="single"/>
        </w:rPr>
        <w:t>,</w:t>
      </w:r>
      <w:r w:rsidRPr="00441D13">
        <w:rPr>
          <w:rFonts w:cs="Arial"/>
          <w:bCs/>
          <w:u w:val="single"/>
        </w:rPr>
        <w:t xml:space="preserve"> 2017)</w:t>
      </w:r>
    </w:p>
    <w:p w:rsidR="000E0AC6" w:rsidRDefault="00911379" w:rsidP="000E0AC6">
      <w:pPr>
        <w:pStyle w:val="ListParagraph"/>
        <w:numPr>
          <w:ilvl w:val="0"/>
          <w:numId w:val="3"/>
        </w:numPr>
        <w:rPr>
          <w:rFonts w:cs="Arial"/>
          <w:bCs/>
        </w:rPr>
      </w:pPr>
      <w:r>
        <w:rPr>
          <w:rFonts w:cs="Arial"/>
          <w:bCs/>
        </w:rPr>
        <w:t>Trade Secrets</w:t>
      </w:r>
    </w:p>
    <w:p w:rsidR="00911379" w:rsidRDefault="00911379" w:rsidP="00911379">
      <w:pPr>
        <w:pStyle w:val="ListParagraph"/>
        <w:numPr>
          <w:ilvl w:val="1"/>
          <w:numId w:val="3"/>
        </w:numPr>
        <w:rPr>
          <w:rFonts w:cs="Arial"/>
          <w:bCs/>
        </w:rPr>
      </w:pPr>
      <w:r>
        <w:rPr>
          <w:rFonts w:cs="Arial"/>
          <w:bCs/>
        </w:rPr>
        <w:t>Chapter 9, pp. 373 – 413</w:t>
      </w:r>
    </w:p>
    <w:p w:rsidR="00911379" w:rsidRDefault="00911379" w:rsidP="00911379">
      <w:pPr>
        <w:pStyle w:val="ListParagraph"/>
        <w:numPr>
          <w:ilvl w:val="1"/>
          <w:numId w:val="3"/>
        </w:numPr>
        <w:rPr>
          <w:rFonts w:cs="Arial"/>
          <w:bCs/>
        </w:rPr>
      </w:pPr>
      <w:r>
        <w:rPr>
          <w:rFonts w:cs="Arial"/>
          <w:bCs/>
        </w:rPr>
        <w:t>Chapter 10, pp. 414 – 439</w:t>
      </w:r>
    </w:p>
    <w:p w:rsidR="00441D13" w:rsidRDefault="00441D13" w:rsidP="006E1E71">
      <w:pPr>
        <w:rPr>
          <w:rFonts w:cs="Arial"/>
          <w:bCs/>
        </w:rPr>
      </w:pPr>
    </w:p>
    <w:p w:rsidR="000E0AC6" w:rsidRPr="00441D13" w:rsidRDefault="000E0AC6" w:rsidP="006E1E71">
      <w:pPr>
        <w:rPr>
          <w:rFonts w:cs="Arial"/>
          <w:bCs/>
          <w:u w:val="single"/>
        </w:rPr>
      </w:pPr>
      <w:r w:rsidRPr="00441D13">
        <w:rPr>
          <w:rFonts w:cs="Arial"/>
          <w:bCs/>
          <w:u w:val="single"/>
        </w:rPr>
        <w:t>Week 3 (February 1, 2017)</w:t>
      </w:r>
    </w:p>
    <w:p w:rsidR="00834064" w:rsidRDefault="00834064" w:rsidP="00834064">
      <w:pPr>
        <w:pStyle w:val="ListParagraph"/>
        <w:numPr>
          <w:ilvl w:val="0"/>
          <w:numId w:val="3"/>
        </w:numPr>
        <w:rPr>
          <w:rFonts w:cs="Arial"/>
          <w:bCs/>
        </w:rPr>
      </w:pPr>
      <w:r>
        <w:rPr>
          <w:rFonts w:cs="Arial"/>
          <w:bCs/>
        </w:rPr>
        <w:t>Legal Standards for Copyrights</w:t>
      </w:r>
    </w:p>
    <w:p w:rsidR="00834064" w:rsidRPr="00834064" w:rsidRDefault="00834064" w:rsidP="00834064">
      <w:pPr>
        <w:pStyle w:val="ListParagraph"/>
        <w:numPr>
          <w:ilvl w:val="1"/>
          <w:numId w:val="3"/>
        </w:numPr>
        <w:rPr>
          <w:rFonts w:cs="Arial"/>
          <w:bCs/>
        </w:rPr>
      </w:pPr>
      <w:r>
        <w:rPr>
          <w:rFonts w:cs="Arial"/>
          <w:bCs/>
        </w:rPr>
        <w:t>Chapter 15, pp. 732 – 741</w:t>
      </w:r>
    </w:p>
    <w:p w:rsidR="00441D13" w:rsidRDefault="00CC650E" w:rsidP="00441D13">
      <w:pPr>
        <w:pStyle w:val="ListParagraph"/>
        <w:numPr>
          <w:ilvl w:val="0"/>
          <w:numId w:val="3"/>
        </w:numPr>
        <w:rPr>
          <w:rFonts w:cs="Arial"/>
          <w:bCs/>
        </w:rPr>
      </w:pPr>
      <w:r w:rsidRPr="00441D13">
        <w:rPr>
          <w:rFonts w:cs="Arial"/>
          <w:bCs/>
        </w:rPr>
        <w:t>Eligible Subject Matter</w:t>
      </w:r>
    </w:p>
    <w:p w:rsidR="00492885" w:rsidRPr="00492885" w:rsidRDefault="00441D13" w:rsidP="00492885">
      <w:pPr>
        <w:pStyle w:val="ListParagraph"/>
        <w:numPr>
          <w:ilvl w:val="1"/>
          <w:numId w:val="3"/>
        </w:numPr>
        <w:rPr>
          <w:rFonts w:cs="Arial"/>
          <w:bCs/>
        </w:rPr>
      </w:pPr>
      <w:r>
        <w:rPr>
          <w:rFonts w:cs="Arial"/>
          <w:bCs/>
        </w:rPr>
        <w:t>Chapter 16, pp. 742 – 886</w:t>
      </w:r>
    </w:p>
    <w:p w:rsidR="00441D13" w:rsidRDefault="00441D13" w:rsidP="006E1E71">
      <w:pPr>
        <w:rPr>
          <w:rFonts w:cs="Arial"/>
          <w:bCs/>
        </w:rPr>
      </w:pPr>
    </w:p>
    <w:p w:rsidR="000E0AC6" w:rsidRPr="00441D13" w:rsidRDefault="000E0AC6" w:rsidP="006E1E71">
      <w:pPr>
        <w:rPr>
          <w:rFonts w:cs="Arial"/>
          <w:bCs/>
          <w:u w:val="single"/>
        </w:rPr>
      </w:pPr>
      <w:r w:rsidRPr="00441D13">
        <w:rPr>
          <w:rFonts w:cs="Arial"/>
          <w:bCs/>
          <w:u w:val="single"/>
        </w:rPr>
        <w:t>Week 4 (February 8, 2017)</w:t>
      </w:r>
    </w:p>
    <w:p w:rsidR="00834064" w:rsidRDefault="00834064" w:rsidP="00834064">
      <w:pPr>
        <w:pStyle w:val="ListParagraph"/>
        <w:numPr>
          <w:ilvl w:val="0"/>
          <w:numId w:val="3"/>
        </w:numPr>
        <w:rPr>
          <w:rFonts w:cs="Arial"/>
          <w:bCs/>
        </w:rPr>
      </w:pPr>
      <w:r>
        <w:rPr>
          <w:rFonts w:cs="Arial"/>
          <w:bCs/>
        </w:rPr>
        <w:t>Ownership and Duration</w:t>
      </w:r>
    </w:p>
    <w:p w:rsidR="00834064" w:rsidRDefault="00834064" w:rsidP="00834064">
      <w:pPr>
        <w:pStyle w:val="ListParagraph"/>
        <w:numPr>
          <w:ilvl w:val="1"/>
          <w:numId w:val="3"/>
        </w:numPr>
        <w:rPr>
          <w:rFonts w:cs="Arial"/>
          <w:bCs/>
        </w:rPr>
      </w:pPr>
      <w:r>
        <w:rPr>
          <w:rFonts w:cs="Arial"/>
          <w:bCs/>
        </w:rPr>
        <w:t>Chapter 17, pp. 887 – 981</w:t>
      </w:r>
    </w:p>
    <w:p w:rsidR="00834064" w:rsidRDefault="00834064" w:rsidP="00834064">
      <w:pPr>
        <w:pStyle w:val="ListParagraph"/>
        <w:numPr>
          <w:ilvl w:val="0"/>
          <w:numId w:val="3"/>
        </w:numPr>
        <w:rPr>
          <w:rFonts w:cs="Arial"/>
          <w:bCs/>
        </w:rPr>
      </w:pPr>
      <w:r>
        <w:rPr>
          <w:rFonts w:cs="Arial"/>
          <w:bCs/>
        </w:rPr>
        <w:t>Exclusive Rights</w:t>
      </w:r>
    </w:p>
    <w:p w:rsidR="00834064" w:rsidRPr="00834064" w:rsidRDefault="00834064" w:rsidP="00834064">
      <w:pPr>
        <w:pStyle w:val="ListParagraph"/>
        <w:numPr>
          <w:ilvl w:val="1"/>
          <w:numId w:val="3"/>
        </w:numPr>
        <w:rPr>
          <w:rFonts w:cs="Arial"/>
          <w:bCs/>
        </w:rPr>
      </w:pPr>
      <w:r>
        <w:rPr>
          <w:rFonts w:cs="Arial"/>
          <w:bCs/>
        </w:rPr>
        <w:t>Chapter 18, pp. 982 – 1067</w:t>
      </w:r>
    </w:p>
    <w:p w:rsidR="00441D13" w:rsidRDefault="00441D13" w:rsidP="000E0AC6">
      <w:pPr>
        <w:rPr>
          <w:rFonts w:cs="Arial"/>
          <w:bCs/>
        </w:rPr>
      </w:pPr>
    </w:p>
    <w:p w:rsidR="000E0AC6" w:rsidRPr="00441D13" w:rsidRDefault="000E0AC6" w:rsidP="000E0AC6">
      <w:pPr>
        <w:rPr>
          <w:rFonts w:cs="Arial"/>
          <w:bCs/>
          <w:u w:val="single"/>
        </w:rPr>
      </w:pPr>
      <w:r w:rsidRPr="00441D13">
        <w:rPr>
          <w:rFonts w:cs="Arial"/>
          <w:bCs/>
          <w:u w:val="single"/>
        </w:rPr>
        <w:t>Week 5 (February 15, 2017)</w:t>
      </w:r>
    </w:p>
    <w:p w:rsidR="00834064" w:rsidRDefault="00834064" w:rsidP="00834064">
      <w:pPr>
        <w:pStyle w:val="ListParagraph"/>
        <w:numPr>
          <w:ilvl w:val="0"/>
          <w:numId w:val="3"/>
        </w:numPr>
        <w:rPr>
          <w:rFonts w:cs="Arial"/>
          <w:bCs/>
        </w:rPr>
      </w:pPr>
      <w:r>
        <w:rPr>
          <w:rFonts w:cs="Arial"/>
          <w:bCs/>
        </w:rPr>
        <w:t>Infringement and Remedies</w:t>
      </w:r>
    </w:p>
    <w:p w:rsidR="00834064" w:rsidRDefault="00834064" w:rsidP="00834064">
      <w:pPr>
        <w:pStyle w:val="ListParagraph"/>
        <w:numPr>
          <w:ilvl w:val="1"/>
          <w:numId w:val="3"/>
        </w:numPr>
        <w:rPr>
          <w:rFonts w:cs="Arial"/>
          <w:bCs/>
        </w:rPr>
      </w:pPr>
      <w:r>
        <w:rPr>
          <w:rFonts w:cs="Arial"/>
          <w:bCs/>
        </w:rPr>
        <w:t>Chapter 20, pp. 1137 – 1263</w:t>
      </w:r>
    </w:p>
    <w:p w:rsidR="00441D13" w:rsidRDefault="00441D13" w:rsidP="000E0AC6">
      <w:pPr>
        <w:rPr>
          <w:rFonts w:cs="Arial"/>
          <w:bCs/>
        </w:rPr>
      </w:pPr>
    </w:p>
    <w:p w:rsidR="000E0AC6" w:rsidRPr="00441D13" w:rsidRDefault="000E0AC6" w:rsidP="000E0AC6">
      <w:pPr>
        <w:rPr>
          <w:rFonts w:cs="Arial"/>
          <w:bCs/>
          <w:u w:val="single"/>
        </w:rPr>
      </w:pPr>
      <w:r w:rsidRPr="00441D13">
        <w:rPr>
          <w:rFonts w:cs="Arial"/>
          <w:bCs/>
          <w:u w:val="single"/>
        </w:rPr>
        <w:lastRenderedPageBreak/>
        <w:t>Week 6 (February 22, 2017)</w:t>
      </w:r>
    </w:p>
    <w:p w:rsidR="00834064" w:rsidRDefault="00834064" w:rsidP="00834064">
      <w:pPr>
        <w:pStyle w:val="ListParagraph"/>
        <w:numPr>
          <w:ilvl w:val="0"/>
          <w:numId w:val="3"/>
        </w:numPr>
        <w:rPr>
          <w:rFonts w:cs="Arial"/>
          <w:bCs/>
        </w:rPr>
      </w:pPr>
      <w:r>
        <w:rPr>
          <w:rFonts w:cs="Arial"/>
          <w:bCs/>
        </w:rPr>
        <w:t>The DMCA and Exemptions</w:t>
      </w:r>
    </w:p>
    <w:p w:rsidR="00834064" w:rsidRDefault="00834064" w:rsidP="00834064">
      <w:pPr>
        <w:pStyle w:val="ListParagraph"/>
        <w:numPr>
          <w:ilvl w:val="1"/>
          <w:numId w:val="3"/>
        </w:numPr>
        <w:rPr>
          <w:rFonts w:cs="Arial"/>
          <w:bCs/>
        </w:rPr>
      </w:pPr>
      <w:r>
        <w:rPr>
          <w:rFonts w:cs="Arial"/>
          <w:bCs/>
        </w:rPr>
        <w:t>17 U.S.C. § 1201</w:t>
      </w:r>
    </w:p>
    <w:p w:rsidR="00834064" w:rsidRDefault="00834064" w:rsidP="00834064">
      <w:pPr>
        <w:pStyle w:val="ListParagraph"/>
        <w:numPr>
          <w:ilvl w:val="1"/>
          <w:numId w:val="3"/>
        </w:numPr>
        <w:rPr>
          <w:rFonts w:cs="Arial"/>
          <w:bCs/>
        </w:rPr>
      </w:pPr>
      <w:r>
        <w:rPr>
          <w:rFonts w:cs="Arial"/>
          <w:bCs/>
        </w:rPr>
        <w:t xml:space="preserve">Register’s Recommendations, available online at </w:t>
      </w:r>
      <w:hyperlink r:id="rId10" w:history="1">
        <w:r w:rsidRPr="00A56225">
          <w:rPr>
            <w:rStyle w:val="Hyperlink"/>
            <w:rFonts w:cs="Arial"/>
            <w:bCs/>
          </w:rPr>
          <w:t>https://www.copyright.gov/1201/2015/registers-recommendation.pdf</w:t>
        </w:r>
      </w:hyperlink>
    </w:p>
    <w:p w:rsidR="00834064" w:rsidRDefault="00834064" w:rsidP="00834064">
      <w:pPr>
        <w:pStyle w:val="ListParagraph"/>
        <w:numPr>
          <w:ilvl w:val="0"/>
          <w:numId w:val="3"/>
        </w:numPr>
        <w:rPr>
          <w:rFonts w:cs="Arial"/>
          <w:bCs/>
        </w:rPr>
      </w:pPr>
      <w:r>
        <w:rPr>
          <w:rFonts w:cs="Arial"/>
          <w:bCs/>
        </w:rPr>
        <w:t>Defenses, Fair Use</w:t>
      </w:r>
    </w:p>
    <w:p w:rsidR="00834064" w:rsidRPr="00441D13" w:rsidRDefault="00834064" w:rsidP="00834064">
      <w:pPr>
        <w:pStyle w:val="ListParagraph"/>
        <w:numPr>
          <w:ilvl w:val="1"/>
          <w:numId w:val="3"/>
        </w:numPr>
        <w:rPr>
          <w:rFonts w:cs="Arial"/>
          <w:bCs/>
        </w:rPr>
      </w:pPr>
      <w:r>
        <w:rPr>
          <w:rFonts w:cs="Arial"/>
          <w:bCs/>
        </w:rPr>
        <w:t>Chapter 19, pp. 1085 - 1136</w:t>
      </w:r>
    </w:p>
    <w:p w:rsidR="00441D13" w:rsidRDefault="00441D13" w:rsidP="000E0AC6">
      <w:pPr>
        <w:rPr>
          <w:rFonts w:cs="Arial"/>
          <w:bCs/>
        </w:rPr>
      </w:pPr>
    </w:p>
    <w:p w:rsidR="000E0AC6" w:rsidRPr="00441D13" w:rsidRDefault="000E0AC6" w:rsidP="000E0AC6">
      <w:pPr>
        <w:rPr>
          <w:rFonts w:cs="Arial"/>
          <w:bCs/>
          <w:u w:val="single"/>
        </w:rPr>
      </w:pPr>
      <w:r w:rsidRPr="00441D13">
        <w:rPr>
          <w:rFonts w:cs="Arial"/>
          <w:bCs/>
          <w:u w:val="single"/>
        </w:rPr>
        <w:t>Week 7 (March 1, 2017)</w:t>
      </w:r>
    </w:p>
    <w:p w:rsidR="00834064" w:rsidRDefault="00834064" w:rsidP="00834064">
      <w:pPr>
        <w:pStyle w:val="ListParagraph"/>
        <w:numPr>
          <w:ilvl w:val="0"/>
          <w:numId w:val="3"/>
        </w:numPr>
        <w:rPr>
          <w:rFonts w:cs="Arial"/>
          <w:bCs/>
        </w:rPr>
      </w:pPr>
      <w:r>
        <w:rPr>
          <w:rFonts w:cs="Arial"/>
          <w:bCs/>
        </w:rPr>
        <w:t>Types of Patents, Patent Term</w:t>
      </w:r>
    </w:p>
    <w:p w:rsidR="00834064" w:rsidRDefault="00834064" w:rsidP="00834064">
      <w:pPr>
        <w:pStyle w:val="ListParagraph"/>
        <w:numPr>
          <w:ilvl w:val="1"/>
          <w:numId w:val="3"/>
        </w:numPr>
        <w:rPr>
          <w:rFonts w:cs="Arial"/>
          <w:bCs/>
        </w:rPr>
      </w:pPr>
      <w:r>
        <w:rPr>
          <w:rFonts w:cs="Arial"/>
          <w:bCs/>
        </w:rPr>
        <w:t>Chapter 12, pp. 560 – 588</w:t>
      </w:r>
    </w:p>
    <w:p w:rsidR="00834064" w:rsidRDefault="00834064" w:rsidP="00834064">
      <w:pPr>
        <w:pStyle w:val="ListParagraph"/>
        <w:numPr>
          <w:ilvl w:val="1"/>
          <w:numId w:val="3"/>
        </w:numPr>
        <w:rPr>
          <w:rFonts w:cs="Arial"/>
          <w:bCs/>
        </w:rPr>
      </w:pPr>
      <w:r>
        <w:rPr>
          <w:rFonts w:cs="Arial"/>
          <w:bCs/>
        </w:rPr>
        <w:t>Chapter 14, pp. 732 – 741</w:t>
      </w:r>
    </w:p>
    <w:p w:rsidR="00834064" w:rsidRDefault="00834064" w:rsidP="00834064">
      <w:pPr>
        <w:pStyle w:val="ListParagraph"/>
        <w:numPr>
          <w:ilvl w:val="0"/>
          <w:numId w:val="3"/>
        </w:numPr>
        <w:rPr>
          <w:rFonts w:cs="Arial"/>
          <w:bCs/>
        </w:rPr>
      </w:pPr>
      <w:r>
        <w:rPr>
          <w:rFonts w:cs="Arial"/>
          <w:bCs/>
        </w:rPr>
        <w:t>Patent Structure</w:t>
      </w:r>
    </w:p>
    <w:p w:rsidR="00834064" w:rsidRPr="00492885" w:rsidRDefault="00834064" w:rsidP="00834064">
      <w:pPr>
        <w:pStyle w:val="ListParagraph"/>
        <w:numPr>
          <w:ilvl w:val="1"/>
          <w:numId w:val="3"/>
        </w:numPr>
        <w:rPr>
          <w:rFonts w:cs="Arial"/>
          <w:bCs/>
        </w:rPr>
      </w:pPr>
      <w:r>
        <w:rPr>
          <w:rFonts w:cs="Arial"/>
          <w:bCs/>
        </w:rPr>
        <w:t>MPEP Chapters 601, 608</w:t>
      </w:r>
    </w:p>
    <w:p w:rsidR="00834064" w:rsidRDefault="00834064" w:rsidP="00834064">
      <w:pPr>
        <w:pStyle w:val="ListParagraph"/>
        <w:numPr>
          <w:ilvl w:val="0"/>
          <w:numId w:val="3"/>
        </w:numPr>
        <w:rPr>
          <w:rFonts w:cs="Arial"/>
          <w:bCs/>
        </w:rPr>
      </w:pPr>
      <w:r>
        <w:rPr>
          <w:rFonts w:cs="Arial"/>
          <w:bCs/>
        </w:rPr>
        <w:t>Patents, 35 U.S.C. § 112</w:t>
      </w:r>
    </w:p>
    <w:p w:rsidR="00834064" w:rsidRDefault="00834064" w:rsidP="00834064">
      <w:pPr>
        <w:pStyle w:val="ListParagraph"/>
        <w:numPr>
          <w:ilvl w:val="1"/>
          <w:numId w:val="3"/>
        </w:numPr>
        <w:rPr>
          <w:rFonts w:cs="Arial"/>
          <w:bCs/>
        </w:rPr>
      </w:pPr>
      <w:r>
        <w:rPr>
          <w:rFonts w:cs="Arial"/>
          <w:bCs/>
        </w:rPr>
        <w:t>Chapter 11, pp. 554 – 560</w:t>
      </w:r>
    </w:p>
    <w:p w:rsidR="00441D13" w:rsidRDefault="00441D13" w:rsidP="000E0AC6">
      <w:pPr>
        <w:rPr>
          <w:rFonts w:cs="Arial"/>
          <w:bCs/>
        </w:rPr>
      </w:pPr>
    </w:p>
    <w:p w:rsidR="000E0AC6" w:rsidRPr="00441D13" w:rsidRDefault="000E0AC6" w:rsidP="000E0AC6">
      <w:pPr>
        <w:rPr>
          <w:rFonts w:cs="Arial"/>
          <w:bCs/>
          <w:u w:val="single"/>
        </w:rPr>
      </w:pPr>
      <w:r w:rsidRPr="00441D13">
        <w:rPr>
          <w:rFonts w:cs="Arial"/>
          <w:bCs/>
          <w:u w:val="single"/>
        </w:rPr>
        <w:t>Week 8 (March 8, 2017)</w:t>
      </w:r>
    </w:p>
    <w:p w:rsidR="00834064" w:rsidRDefault="00834064" w:rsidP="00834064">
      <w:pPr>
        <w:pStyle w:val="ListParagraph"/>
        <w:numPr>
          <w:ilvl w:val="0"/>
          <w:numId w:val="3"/>
        </w:numPr>
        <w:rPr>
          <w:rFonts w:cs="Arial"/>
          <w:bCs/>
        </w:rPr>
      </w:pPr>
      <w:r>
        <w:rPr>
          <w:rFonts w:cs="Arial"/>
          <w:bCs/>
        </w:rPr>
        <w:t>Patents, 35 U.S.C. § 101</w:t>
      </w:r>
    </w:p>
    <w:p w:rsidR="00834064" w:rsidRDefault="00834064" w:rsidP="00834064">
      <w:pPr>
        <w:pStyle w:val="ListParagraph"/>
        <w:numPr>
          <w:ilvl w:val="1"/>
          <w:numId w:val="3"/>
        </w:numPr>
        <w:rPr>
          <w:rFonts w:cs="Arial"/>
          <w:bCs/>
        </w:rPr>
      </w:pPr>
      <w:r>
        <w:rPr>
          <w:rFonts w:cs="Arial"/>
          <w:bCs/>
        </w:rPr>
        <w:t>Chapter 11, pp. 443 – 479</w:t>
      </w:r>
    </w:p>
    <w:p w:rsidR="00834064" w:rsidRPr="00FA1BEE" w:rsidRDefault="00834064" w:rsidP="00834064">
      <w:pPr>
        <w:pStyle w:val="ListParagraph"/>
        <w:numPr>
          <w:ilvl w:val="1"/>
          <w:numId w:val="3"/>
        </w:numPr>
        <w:rPr>
          <w:rFonts w:cs="Arial"/>
          <w:bCs/>
        </w:rPr>
      </w:pPr>
      <w:r>
        <w:rPr>
          <w:rFonts w:cs="Arial"/>
          <w:bCs/>
        </w:rPr>
        <w:t>MPEP Chapter 2104</w:t>
      </w:r>
    </w:p>
    <w:p w:rsidR="00834064" w:rsidRPr="00CC650E" w:rsidRDefault="00834064" w:rsidP="00834064">
      <w:pPr>
        <w:pStyle w:val="ListParagraph"/>
        <w:numPr>
          <w:ilvl w:val="1"/>
          <w:numId w:val="3"/>
        </w:numPr>
        <w:rPr>
          <w:rFonts w:cs="Arial"/>
          <w:bCs/>
        </w:rPr>
      </w:pPr>
      <w:r w:rsidRPr="00CC650E">
        <w:rPr>
          <w:rFonts w:cs="Arial"/>
          <w:bCs/>
          <w:i/>
        </w:rPr>
        <w:t>Mayo Collaborative Services v. Prometheus Labs, Inc.</w:t>
      </w:r>
      <w:r w:rsidRPr="00CC650E">
        <w:rPr>
          <w:rFonts w:cs="Arial"/>
          <w:bCs/>
        </w:rPr>
        <w:t>, 132 S. Ct. 1289 (2012)</w:t>
      </w:r>
    </w:p>
    <w:p w:rsidR="00834064" w:rsidRDefault="00834064" w:rsidP="00834064">
      <w:pPr>
        <w:pStyle w:val="ListParagraph"/>
        <w:numPr>
          <w:ilvl w:val="1"/>
          <w:numId w:val="3"/>
        </w:numPr>
        <w:rPr>
          <w:rFonts w:cs="Arial"/>
          <w:bCs/>
        </w:rPr>
      </w:pPr>
      <w:r w:rsidRPr="00CC650E">
        <w:rPr>
          <w:rFonts w:cs="Arial"/>
          <w:bCs/>
          <w:i/>
        </w:rPr>
        <w:t>Alice Corp. v. CLS Bank International</w:t>
      </w:r>
      <w:r w:rsidRPr="00911379">
        <w:rPr>
          <w:rFonts w:cs="Arial"/>
          <w:bCs/>
        </w:rPr>
        <w:t>, 134 S. Ct. 2347 (2014)</w:t>
      </w:r>
    </w:p>
    <w:p w:rsidR="00834064" w:rsidRPr="000E0AC6" w:rsidRDefault="00834064" w:rsidP="00834064">
      <w:pPr>
        <w:pStyle w:val="ListParagraph"/>
        <w:numPr>
          <w:ilvl w:val="1"/>
          <w:numId w:val="3"/>
        </w:numPr>
        <w:rPr>
          <w:rFonts w:cs="Arial"/>
          <w:bCs/>
        </w:rPr>
      </w:pPr>
      <w:r>
        <w:rPr>
          <w:rFonts w:cs="Arial"/>
          <w:bCs/>
          <w:i/>
        </w:rPr>
        <w:t>Enfish, LLC. v. Microsoft Corporation</w:t>
      </w:r>
      <w:r>
        <w:rPr>
          <w:rFonts w:cs="Arial"/>
          <w:bCs/>
        </w:rPr>
        <w:t xml:space="preserve">, </w:t>
      </w:r>
      <w:r w:rsidRPr="00CC650E">
        <w:rPr>
          <w:rFonts w:cs="Arial"/>
          <w:bCs/>
        </w:rPr>
        <w:t>No. 2015–1244</w:t>
      </w:r>
      <w:r>
        <w:rPr>
          <w:rFonts w:cs="Arial"/>
          <w:bCs/>
        </w:rPr>
        <w:t xml:space="preserve"> (May 12, 2016)</w:t>
      </w:r>
    </w:p>
    <w:p w:rsidR="00441D13" w:rsidRDefault="00441D13" w:rsidP="000E0AC6">
      <w:pPr>
        <w:rPr>
          <w:rFonts w:cs="Arial"/>
          <w:bCs/>
        </w:rPr>
      </w:pPr>
    </w:p>
    <w:p w:rsidR="000E0AC6" w:rsidRPr="00441D13" w:rsidRDefault="000E0AC6" w:rsidP="000E0AC6">
      <w:pPr>
        <w:rPr>
          <w:rFonts w:cs="Arial"/>
          <w:bCs/>
          <w:u w:val="single"/>
        </w:rPr>
      </w:pPr>
      <w:r w:rsidRPr="00441D13">
        <w:rPr>
          <w:rFonts w:cs="Arial"/>
          <w:bCs/>
          <w:u w:val="single"/>
        </w:rPr>
        <w:t>Week 9 (March 15, 2017)</w:t>
      </w:r>
    </w:p>
    <w:p w:rsidR="000E0AC6" w:rsidRPr="000E0AC6" w:rsidRDefault="000E0AC6" w:rsidP="000E0AC6">
      <w:pPr>
        <w:pStyle w:val="ListParagraph"/>
        <w:numPr>
          <w:ilvl w:val="0"/>
          <w:numId w:val="3"/>
        </w:numPr>
        <w:rPr>
          <w:rFonts w:cs="Arial"/>
          <w:bCs/>
        </w:rPr>
      </w:pPr>
      <w:r>
        <w:rPr>
          <w:rFonts w:cs="Arial"/>
          <w:bCs/>
        </w:rPr>
        <w:t>Spring Break!</w:t>
      </w:r>
    </w:p>
    <w:p w:rsidR="00441D13" w:rsidRDefault="00441D13" w:rsidP="000E0AC6">
      <w:pPr>
        <w:rPr>
          <w:rFonts w:cs="Arial"/>
          <w:bCs/>
        </w:rPr>
      </w:pPr>
    </w:p>
    <w:p w:rsidR="000E0AC6" w:rsidRPr="001630DA" w:rsidRDefault="000E0AC6" w:rsidP="000E0AC6">
      <w:pPr>
        <w:rPr>
          <w:rFonts w:cs="Arial"/>
          <w:bCs/>
          <w:u w:val="single"/>
        </w:rPr>
      </w:pPr>
      <w:r w:rsidRPr="001630DA">
        <w:rPr>
          <w:rFonts w:cs="Arial"/>
          <w:bCs/>
          <w:u w:val="single"/>
        </w:rPr>
        <w:t>Week 10 (March 22, 2017)</w:t>
      </w:r>
    </w:p>
    <w:p w:rsidR="00834064" w:rsidRDefault="00834064" w:rsidP="00834064">
      <w:pPr>
        <w:pStyle w:val="ListParagraph"/>
        <w:numPr>
          <w:ilvl w:val="0"/>
          <w:numId w:val="3"/>
        </w:numPr>
        <w:rPr>
          <w:rFonts w:cs="Arial"/>
          <w:bCs/>
        </w:rPr>
      </w:pPr>
      <w:r>
        <w:rPr>
          <w:rFonts w:cs="Arial"/>
          <w:bCs/>
        </w:rPr>
        <w:t>Patents, 35 U.S.C. § 102</w:t>
      </w:r>
    </w:p>
    <w:p w:rsidR="00834064" w:rsidRDefault="00834064" w:rsidP="00834064">
      <w:pPr>
        <w:pStyle w:val="ListParagraph"/>
        <w:numPr>
          <w:ilvl w:val="1"/>
          <w:numId w:val="3"/>
        </w:numPr>
        <w:rPr>
          <w:rFonts w:cs="Arial"/>
          <w:bCs/>
        </w:rPr>
      </w:pPr>
      <w:r>
        <w:rPr>
          <w:rFonts w:cs="Arial"/>
          <w:bCs/>
        </w:rPr>
        <w:lastRenderedPageBreak/>
        <w:t>Chapter 11, pp. 487 – 530</w:t>
      </w:r>
    </w:p>
    <w:p w:rsidR="00834064" w:rsidRPr="000E0AC6" w:rsidRDefault="00834064" w:rsidP="00834064">
      <w:pPr>
        <w:pStyle w:val="ListParagraph"/>
        <w:numPr>
          <w:ilvl w:val="1"/>
          <w:numId w:val="3"/>
        </w:numPr>
        <w:rPr>
          <w:rFonts w:cs="Arial"/>
          <w:bCs/>
        </w:rPr>
      </w:pPr>
      <w:r>
        <w:rPr>
          <w:rFonts w:cs="Arial"/>
          <w:bCs/>
        </w:rPr>
        <w:t>MPEP Chapters 2131, 2133, 2136</w:t>
      </w:r>
    </w:p>
    <w:p w:rsidR="00492885" w:rsidRDefault="00492885" w:rsidP="000E0AC6">
      <w:pPr>
        <w:rPr>
          <w:rFonts w:cs="Arial"/>
          <w:bCs/>
        </w:rPr>
      </w:pPr>
    </w:p>
    <w:p w:rsidR="000E0AC6" w:rsidRPr="00834064" w:rsidRDefault="000E0AC6" w:rsidP="000E0AC6">
      <w:pPr>
        <w:rPr>
          <w:rFonts w:cs="Arial"/>
          <w:bCs/>
          <w:u w:val="single"/>
        </w:rPr>
      </w:pPr>
      <w:r w:rsidRPr="00834064">
        <w:rPr>
          <w:rFonts w:cs="Arial"/>
          <w:bCs/>
          <w:u w:val="single"/>
        </w:rPr>
        <w:t>Week 11 (March 29, 2017)</w:t>
      </w:r>
    </w:p>
    <w:p w:rsidR="00834064" w:rsidRDefault="00834064" w:rsidP="00834064">
      <w:pPr>
        <w:pStyle w:val="ListParagraph"/>
        <w:numPr>
          <w:ilvl w:val="0"/>
          <w:numId w:val="3"/>
        </w:numPr>
        <w:rPr>
          <w:rFonts w:cs="Arial"/>
          <w:bCs/>
        </w:rPr>
      </w:pPr>
      <w:r>
        <w:rPr>
          <w:rFonts w:cs="Arial"/>
          <w:bCs/>
        </w:rPr>
        <w:t>Patents, 35 U.S.C. § 103</w:t>
      </w:r>
    </w:p>
    <w:p w:rsidR="00834064" w:rsidRDefault="00834064" w:rsidP="00834064">
      <w:pPr>
        <w:pStyle w:val="ListParagraph"/>
        <w:numPr>
          <w:ilvl w:val="1"/>
          <w:numId w:val="3"/>
        </w:numPr>
        <w:rPr>
          <w:rFonts w:cs="Arial"/>
          <w:bCs/>
        </w:rPr>
      </w:pPr>
      <w:r>
        <w:rPr>
          <w:rFonts w:cs="Arial"/>
          <w:bCs/>
        </w:rPr>
        <w:t>Chapter 11, pp. 530 – 553</w:t>
      </w:r>
    </w:p>
    <w:p w:rsidR="00834064" w:rsidRPr="000E0AC6" w:rsidRDefault="00834064" w:rsidP="00834064">
      <w:pPr>
        <w:pStyle w:val="ListParagraph"/>
        <w:numPr>
          <w:ilvl w:val="1"/>
          <w:numId w:val="3"/>
        </w:numPr>
        <w:rPr>
          <w:rFonts w:cs="Arial"/>
          <w:bCs/>
        </w:rPr>
      </w:pPr>
      <w:r>
        <w:rPr>
          <w:rFonts w:cs="Arial"/>
          <w:bCs/>
        </w:rPr>
        <w:t>MPEP Chapters 2141 – 2144</w:t>
      </w:r>
    </w:p>
    <w:p w:rsidR="00492885" w:rsidRDefault="00492885" w:rsidP="000E0AC6">
      <w:pPr>
        <w:rPr>
          <w:rFonts w:cs="Arial"/>
          <w:bCs/>
        </w:rPr>
      </w:pPr>
    </w:p>
    <w:p w:rsidR="000E0AC6" w:rsidRPr="00834064" w:rsidRDefault="000E0AC6" w:rsidP="000E0AC6">
      <w:pPr>
        <w:rPr>
          <w:rFonts w:cs="Arial"/>
          <w:bCs/>
          <w:u w:val="single"/>
        </w:rPr>
      </w:pPr>
      <w:r w:rsidRPr="00834064">
        <w:rPr>
          <w:rFonts w:cs="Arial"/>
          <w:bCs/>
          <w:u w:val="single"/>
        </w:rPr>
        <w:t xml:space="preserve">Week 12 (April 5, 2017) </w:t>
      </w:r>
    </w:p>
    <w:p w:rsidR="00834064" w:rsidRDefault="00834064" w:rsidP="00834064">
      <w:pPr>
        <w:pStyle w:val="ListParagraph"/>
        <w:numPr>
          <w:ilvl w:val="0"/>
          <w:numId w:val="3"/>
        </w:numPr>
        <w:rPr>
          <w:rFonts w:cs="Arial"/>
          <w:bCs/>
        </w:rPr>
      </w:pPr>
      <w:r>
        <w:rPr>
          <w:rFonts w:cs="Arial"/>
          <w:bCs/>
        </w:rPr>
        <w:t>Patent Interpretation</w:t>
      </w:r>
    </w:p>
    <w:p w:rsidR="00834064" w:rsidRDefault="00834064" w:rsidP="00834064">
      <w:pPr>
        <w:pStyle w:val="ListParagraph"/>
        <w:numPr>
          <w:ilvl w:val="1"/>
          <w:numId w:val="3"/>
        </w:numPr>
        <w:rPr>
          <w:rFonts w:cs="Arial"/>
          <w:bCs/>
        </w:rPr>
      </w:pPr>
      <w:r>
        <w:rPr>
          <w:rFonts w:cs="Arial"/>
          <w:bCs/>
        </w:rPr>
        <w:t>Materials to be provided</w:t>
      </w:r>
    </w:p>
    <w:p w:rsidR="00834064" w:rsidRDefault="00834064" w:rsidP="00834064">
      <w:pPr>
        <w:pStyle w:val="ListParagraph"/>
        <w:numPr>
          <w:ilvl w:val="0"/>
          <w:numId w:val="3"/>
        </w:numPr>
        <w:rPr>
          <w:rFonts w:cs="Arial"/>
          <w:bCs/>
        </w:rPr>
      </w:pPr>
      <w:r>
        <w:rPr>
          <w:rFonts w:cs="Arial"/>
          <w:bCs/>
        </w:rPr>
        <w:t>Patent Infringement and Defenses</w:t>
      </w:r>
    </w:p>
    <w:p w:rsidR="00834064" w:rsidRPr="000E0AC6" w:rsidRDefault="00834064" w:rsidP="00834064">
      <w:pPr>
        <w:pStyle w:val="ListParagraph"/>
        <w:numPr>
          <w:ilvl w:val="1"/>
          <w:numId w:val="3"/>
        </w:numPr>
        <w:rPr>
          <w:rFonts w:cs="Arial"/>
          <w:bCs/>
        </w:rPr>
      </w:pPr>
      <w:r>
        <w:rPr>
          <w:rFonts w:cs="Arial"/>
          <w:bCs/>
        </w:rPr>
        <w:t>Chapter 13, p. 589 – 692</w:t>
      </w:r>
    </w:p>
    <w:p w:rsidR="00492885" w:rsidRDefault="00492885" w:rsidP="000E0AC6">
      <w:pPr>
        <w:rPr>
          <w:rFonts w:cs="Arial"/>
          <w:bCs/>
        </w:rPr>
      </w:pPr>
    </w:p>
    <w:p w:rsidR="000E0AC6" w:rsidRPr="00834064" w:rsidRDefault="000E0AC6" w:rsidP="000E0AC6">
      <w:pPr>
        <w:rPr>
          <w:rFonts w:cs="Arial"/>
          <w:bCs/>
          <w:u w:val="single"/>
        </w:rPr>
      </w:pPr>
      <w:r w:rsidRPr="00834064">
        <w:rPr>
          <w:rFonts w:cs="Arial"/>
          <w:bCs/>
          <w:u w:val="single"/>
        </w:rPr>
        <w:t>Week 13 (April 12, 2017)</w:t>
      </w:r>
    </w:p>
    <w:p w:rsidR="00834064" w:rsidRDefault="00834064" w:rsidP="00834064">
      <w:pPr>
        <w:pStyle w:val="ListParagraph"/>
        <w:numPr>
          <w:ilvl w:val="0"/>
          <w:numId w:val="3"/>
        </w:numPr>
        <w:rPr>
          <w:rFonts w:cs="Arial"/>
          <w:bCs/>
        </w:rPr>
      </w:pPr>
      <w:r>
        <w:rPr>
          <w:rFonts w:cs="Arial"/>
          <w:bCs/>
        </w:rPr>
        <w:t>Trademarks in General</w:t>
      </w:r>
    </w:p>
    <w:p w:rsidR="00834064" w:rsidRDefault="00834064" w:rsidP="00834064">
      <w:pPr>
        <w:pStyle w:val="ListParagraph"/>
        <w:numPr>
          <w:ilvl w:val="1"/>
          <w:numId w:val="3"/>
        </w:numPr>
        <w:rPr>
          <w:rFonts w:cs="Arial"/>
          <w:bCs/>
        </w:rPr>
      </w:pPr>
      <w:r>
        <w:rPr>
          <w:rFonts w:cs="Arial"/>
          <w:bCs/>
        </w:rPr>
        <w:t>Chapter 2, pp. 32 – 107</w:t>
      </w:r>
    </w:p>
    <w:p w:rsidR="00834064" w:rsidRDefault="00834064" w:rsidP="00834064">
      <w:pPr>
        <w:pStyle w:val="ListParagraph"/>
        <w:numPr>
          <w:ilvl w:val="0"/>
          <w:numId w:val="3"/>
        </w:numPr>
        <w:rPr>
          <w:rFonts w:cs="Arial"/>
          <w:bCs/>
        </w:rPr>
      </w:pPr>
      <w:r>
        <w:rPr>
          <w:rFonts w:cs="Arial"/>
          <w:bCs/>
        </w:rPr>
        <w:t>Acquiring Trademarks</w:t>
      </w:r>
    </w:p>
    <w:p w:rsidR="000E0AC6" w:rsidRPr="00834064" w:rsidRDefault="00834064" w:rsidP="00834064">
      <w:pPr>
        <w:pStyle w:val="ListParagraph"/>
        <w:numPr>
          <w:ilvl w:val="1"/>
          <w:numId w:val="3"/>
        </w:numPr>
        <w:rPr>
          <w:rFonts w:cs="Arial"/>
          <w:bCs/>
        </w:rPr>
      </w:pPr>
      <w:r>
        <w:rPr>
          <w:rFonts w:cs="Arial"/>
          <w:bCs/>
        </w:rPr>
        <w:t>Chapter 3, pp. 108 – 134</w:t>
      </w:r>
    </w:p>
    <w:p w:rsidR="00492885" w:rsidRDefault="00492885" w:rsidP="006E1E71">
      <w:pPr>
        <w:rPr>
          <w:rFonts w:cs="Arial"/>
          <w:bCs/>
        </w:rPr>
      </w:pPr>
    </w:p>
    <w:p w:rsidR="000E0AC6" w:rsidRPr="00834064" w:rsidRDefault="000E0AC6" w:rsidP="006E1E71">
      <w:pPr>
        <w:rPr>
          <w:rFonts w:cs="Arial"/>
          <w:bCs/>
          <w:u w:val="single"/>
        </w:rPr>
      </w:pPr>
      <w:r w:rsidRPr="00834064">
        <w:rPr>
          <w:rFonts w:cs="Arial"/>
          <w:bCs/>
          <w:u w:val="single"/>
        </w:rPr>
        <w:t>Week 14 (April 19, 2017)</w:t>
      </w:r>
    </w:p>
    <w:p w:rsidR="00834064" w:rsidRDefault="00834064" w:rsidP="00834064">
      <w:pPr>
        <w:pStyle w:val="ListParagraph"/>
        <w:numPr>
          <w:ilvl w:val="0"/>
          <w:numId w:val="3"/>
        </w:numPr>
        <w:rPr>
          <w:rFonts w:cs="Arial"/>
          <w:bCs/>
        </w:rPr>
      </w:pPr>
      <w:r>
        <w:rPr>
          <w:rFonts w:cs="Arial"/>
          <w:bCs/>
        </w:rPr>
        <w:t>Trademark Infringement</w:t>
      </w:r>
    </w:p>
    <w:p w:rsidR="00834064" w:rsidRDefault="00834064" w:rsidP="00834064">
      <w:pPr>
        <w:pStyle w:val="ListParagraph"/>
        <w:numPr>
          <w:ilvl w:val="1"/>
          <w:numId w:val="3"/>
        </w:numPr>
        <w:rPr>
          <w:rFonts w:cs="Arial"/>
          <w:bCs/>
        </w:rPr>
      </w:pPr>
      <w:r>
        <w:rPr>
          <w:rFonts w:cs="Arial"/>
          <w:bCs/>
        </w:rPr>
        <w:t>Chapter 4, pp. 134 – 180</w:t>
      </w:r>
    </w:p>
    <w:p w:rsidR="00834064" w:rsidRDefault="00834064" w:rsidP="00834064">
      <w:pPr>
        <w:pStyle w:val="ListParagraph"/>
        <w:numPr>
          <w:ilvl w:val="0"/>
          <w:numId w:val="3"/>
        </w:numPr>
        <w:rPr>
          <w:rFonts w:cs="Arial"/>
          <w:bCs/>
        </w:rPr>
      </w:pPr>
      <w:r>
        <w:rPr>
          <w:rFonts w:cs="Arial"/>
          <w:bCs/>
        </w:rPr>
        <w:t>Defenses to Infringement</w:t>
      </w:r>
    </w:p>
    <w:p w:rsidR="000E0AC6" w:rsidRPr="00834064" w:rsidRDefault="00834064" w:rsidP="00834064">
      <w:pPr>
        <w:pStyle w:val="ListParagraph"/>
        <w:numPr>
          <w:ilvl w:val="1"/>
          <w:numId w:val="3"/>
        </w:numPr>
        <w:rPr>
          <w:rFonts w:cs="Arial"/>
          <w:bCs/>
        </w:rPr>
      </w:pPr>
      <w:r>
        <w:rPr>
          <w:rFonts w:cs="Arial"/>
          <w:bCs/>
        </w:rPr>
        <w:t>Chapter 5, pp. 181 – 222</w:t>
      </w:r>
    </w:p>
    <w:p w:rsidR="00492885" w:rsidRDefault="00492885" w:rsidP="006E1E71">
      <w:pPr>
        <w:rPr>
          <w:rFonts w:cs="Arial"/>
          <w:bCs/>
        </w:rPr>
      </w:pPr>
    </w:p>
    <w:p w:rsidR="000E0AC6" w:rsidRPr="00834064" w:rsidRDefault="000E0AC6" w:rsidP="006E1E71">
      <w:pPr>
        <w:rPr>
          <w:rFonts w:cs="Arial"/>
          <w:bCs/>
          <w:u w:val="single"/>
        </w:rPr>
      </w:pPr>
      <w:r w:rsidRPr="00834064">
        <w:rPr>
          <w:rFonts w:cs="Arial"/>
          <w:bCs/>
          <w:u w:val="single"/>
        </w:rPr>
        <w:t>Week 15 (April 26, 2017)</w:t>
      </w:r>
    </w:p>
    <w:p w:rsidR="000E0AC6" w:rsidRDefault="00FA1BEE" w:rsidP="000E0AC6">
      <w:pPr>
        <w:pStyle w:val="ListParagraph"/>
        <w:numPr>
          <w:ilvl w:val="0"/>
          <w:numId w:val="3"/>
        </w:numPr>
        <w:rPr>
          <w:rFonts w:cs="Arial"/>
          <w:bCs/>
        </w:rPr>
      </w:pPr>
      <w:r>
        <w:rPr>
          <w:rFonts w:cs="Arial"/>
          <w:bCs/>
        </w:rPr>
        <w:t>Licensing</w:t>
      </w:r>
      <w:r w:rsidR="00834064">
        <w:rPr>
          <w:rFonts w:cs="Arial"/>
          <w:bCs/>
        </w:rPr>
        <w:t xml:space="preserve"> of Intellectual Property</w:t>
      </w:r>
    </w:p>
    <w:p w:rsidR="00FA1BEE" w:rsidRDefault="00FA1BEE" w:rsidP="00FA1BEE">
      <w:pPr>
        <w:pStyle w:val="ListParagraph"/>
        <w:numPr>
          <w:ilvl w:val="1"/>
          <w:numId w:val="3"/>
        </w:numPr>
        <w:rPr>
          <w:rFonts w:cs="Arial"/>
          <w:bCs/>
        </w:rPr>
      </w:pPr>
      <w:r>
        <w:rPr>
          <w:rFonts w:cs="Arial"/>
          <w:bCs/>
        </w:rPr>
        <w:t>Materials to be provided</w:t>
      </w:r>
    </w:p>
    <w:p w:rsidR="00D14B1A" w:rsidRPr="006E1E71" w:rsidRDefault="00D14B1A" w:rsidP="006E1E71">
      <w:pPr>
        <w:rPr>
          <w:bCs/>
        </w:rPr>
      </w:pPr>
      <w:r w:rsidRPr="00D14B1A">
        <w:rPr>
          <w:rFonts w:cs="Arial"/>
          <w:bCs/>
        </w:rPr>
        <w:br w:type="page"/>
      </w:r>
    </w:p>
    <w:p w:rsidR="00D14B1A" w:rsidRPr="00D14B1A" w:rsidRDefault="00D14B1A" w:rsidP="00525A2F">
      <w:pPr>
        <w:ind w:left="360"/>
        <w:rPr>
          <w:rFonts w:eastAsia="Calibri" w:cs="Arial"/>
          <w:color w:val="000000"/>
          <w:sz w:val="28"/>
          <w:szCs w:val="24"/>
        </w:rPr>
      </w:pPr>
      <w:r w:rsidRPr="00D14B1A">
        <w:rPr>
          <w:rFonts w:eastAsia="Calibri" w:cs="Arial"/>
          <w:b/>
          <w:bCs/>
          <w:color w:val="000000"/>
          <w:u w:val="single"/>
        </w:rPr>
        <w:lastRenderedPageBreak/>
        <w:t>DISABILITY SERVICES STATEMENT</w:t>
      </w:r>
      <w:r w:rsidRPr="00D14B1A">
        <w:rPr>
          <w:rFonts w:eastAsia="Calibri" w:cs="Arial"/>
          <w:b/>
          <w:bCs/>
          <w:color w:val="000000"/>
        </w:rPr>
        <w:t xml:space="preserve">: </w:t>
      </w:r>
    </w:p>
    <w:p w:rsidR="00D14B1A" w:rsidRPr="00D14B1A" w:rsidRDefault="00D14B1A" w:rsidP="00D14B1A">
      <w:pPr>
        <w:ind w:left="360"/>
        <w:rPr>
          <w:rFonts w:eastAsia="Calibri" w:cs="Arial"/>
          <w:color w:val="000000"/>
          <w:sz w:val="28"/>
          <w:szCs w:val="24"/>
        </w:rPr>
      </w:pPr>
      <w:r w:rsidRPr="00D14B1A">
        <w:rPr>
          <w:rFonts w:eastAsia="Calibri" w:cs="Arial"/>
          <w:color w:val="000000"/>
        </w:rPr>
        <w:t xml:space="preserve">Western State College of Law provides accommodations to qualified students with disabilities. The </w:t>
      </w:r>
      <w:r w:rsidRPr="00D14B1A">
        <w:rPr>
          <w:rFonts w:eastAsia="Calibri" w:cs="Arial"/>
          <w:b/>
          <w:bCs/>
          <w:color w:val="000000"/>
        </w:rPr>
        <w:t>Disabilities</w:t>
      </w:r>
      <w:r w:rsidRPr="00D14B1A">
        <w:rPr>
          <w:rFonts w:eastAsia="Calibri" w:cs="Arial"/>
          <w:color w:val="000000"/>
        </w:rPr>
        <w:t xml:space="preserve"> Services Office assists qualified students with disabil</w:t>
      </w:r>
      <w:r w:rsidRPr="00D14B1A">
        <w:rPr>
          <w:rFonts w:eastAsia="Calibri" w:cs="Arial"/>
          <w:color w:val="000000"/>
        </w:rPr>
        <w:t>i</w:t>
      </w:r>
      <w:r w:rsidRPr="00D14B1A">
        <w:rPr>
          <w:rFonts w:eastAsia="Calibri" w:cs="Arial"/>
          <w:color w:val="000000"/>
        </w:rPr>
        <w:t>ties in acquiring reasonable and appropriate accommodations and in supporting equal access to services, programs, and activities at Western State College of Law.</w:t>
      </w:r>
    </w:p>
    <w:p w:rsidR="00D14B1A" w:rsidRPr="00D14B1A" w:rsidRDefault="00D14B1A" w:rsidP="00D14B1A">
      <w:pPr>
        <w:ind w:left="360"/>
        <w:rPr>
          <w:rFonts w:eastAsia="Calibri" w:cs="Arial"/>
          <w:color w:val="000000"/>
          <w:sz w:val="28"/>
          <w:szCs w:val="24"/>
        </w:rPr>
      </w:pPr>
      <w:r w:rsidRPr="00D14B1A">
        <w:rPr>
          <w:rFonts w:eastAsia="Calibri" w:cs="Arial"/>
          <w:color w:val="000000"/>
          <w:sz w:val="28"/>
          <w:szCs w:val="24"/>
        </w:rPr>
        <w:t> </w:t>
      </w:r>
    </w:p>
    <w:p w:rsidR="00D14B1A" w:rsidRPr="00D14B1A" w:rsidRDefault="00D14B1A" w:rsidP="00D14B1A">
      <w:pPr>
        <w:ind w:left="360"/>
        <w:rPr>
          <w:rFonts w:eastAsia="Calibri" w:cs="Arial"/>
          <w:color w:val="000000"/>
        </w:rPr>
      </w:pPr>
      <w:r w:rsidRPr="00D14B1A">
        <w:rPr>
          <w:rFonts w:eastAsia="Calibri" w:cs="Arial"/>
          <w:color w:val="000000"/>
        </w:rPr>
        <w:t xml:space="preserve">To seek reasonable accommodations, a student must contact Senior Assistant Dean Donna Espinoza, Student Services Director and Disabilities Services Coordinator, whose office is in the Students Services Suite 119. Dean Espinoza’s phone number and email address are: (714) 459-1117; </w:t>
      </w:r>
      <w:hyperlink r:id="rId11" w:history="1">
        <w:r w:rsidRPr="00D14B1A">
          <w:rPr>
            <w:rFonts w:eastAsia="Calibri" w:cs="Arial"/>
            <w:color w:val="0000FF"/>
            <w:u w:val="single"/>
          </w:rPr>
          <w:t>despinoza@wsulaw.edu</w:t>
        </w:r>
      </w:hyperlink>
      <w:r w:rsidRPr="00D14B1A">
        <w:rPr>
          <w:rFonts w:eastAsia="Calibri" w:cs="Arial"/>
          <w:color w:val="000000"/>
        </w:rPr>
        <w:t>. When seeking a</w:t>
      </w:r>
      <w:r w:rsidRPr="00D14B1A">
        <w:rPr>
          <w:rFonts w:eastAsia="Calibri" w:cs="Arial"/>
          <w:color w:val="000000"/>
        </w:rPr>
        <w:t>c</w:t>
      </w:r>
      <w:r w:rsidRPr="00D14B1A">
        <w:rPr>
          <w:rFonts w:eastAsia="Calibri" w:cs="Arial"/>
          <w:color w:val="000000"/>
        </w:rPr>
        <w:t>commodations, a student should notify Dean Espinoza of her or his specific limit</w:t>
      </w:r>
      <w:r w:rsidRPr="00D14B1A">
        <w:rPr>
          <w:rFonts w:eastAsia="Calibri" w:cs="Arial"/>
          <w:color w:val="000000"/>
        </w:rPr>
        <w:t>a</w:t>
      </w:r>
      <w:r w:rsidRPr="00D14B1A">
        <w:rPr>
          <w:rFonts w:eastAsia="Calibri" w:cs="Arial"/>
          <w:color w:val="000000"/>
        </w:rPr>
        <w:t>tions and, if known, her or his specific requested accommodations. Students who seek accommodations will be asked to supply medical documentation of the need for accommodation. Classroom accommodations are not retroactive, but are effe</w:t>
      </w:r>
      <w:r w:rsidRPr="00D14B1A">
        <w:rPr>
          <w:rFonts w:eastAsia="Calibri" w:cs="Arial"/>
          <w:color w:val="000000"/>
        </w:rPr>
        <w:t>c</w:t>
      </w:r>
      <w:r w:rsidRPr="00D14B1A">
        <w:rPr>
          <w:rFonts w:eastAsia="Calibri" w:cs="Arial"/>
          <w:color w:val="000000"/>
        </w:rPr>
        <w:t xml:space="preserve">tive only upon the student sharing approved accommodations with the instructor or professor. Therefore, students are encouraged to request accommodations as early as feasible with Dean Espinoza to allow for time to gather necessary documentation. If you have a concern or complaint in this regard, please notify Dean Espinoza; or please notify Dean </w:t>
      </w:r>
      <w:r w:rsidR="00482C44">
        <w:rPr>
          <w:rFonts w:eastAsia="Calibri" w:cs="Arial"/>
          <w:color w:val="000000"/>
        </w:rPr>
        <w:t xml:space="preserve">Allen Easley at </w:t>
      </w:r>
      <w:hyperlink r:id="rId12" w:history="1">
        <w:r w:rsidR="00482C44" w:rsidRPr="00B07567">
          <w:rPr>
            <w:rStyle w:val="Hyperlink"/>
            <w:rFonts w:eastAsia="Calibri" w:cs="Arial"/>
          </w:rPr>
          <w:t>aeasley@wsulaw.edu</w:t>
        </w:r>
      </w:hyperlink>
      <w:r w:rsidR="00482C44">
        <w:rPr>
          <w:rFonts w:eastAsia="Calibri" w:cs="Arial"/>
          <w:color w:val="000000"/>
        </w:rPr>
        <w:t>, 714-459-1168.</w:t>
      </w:r>
      <w:r w:rsidRPr="00D14B1A">
        <w:rPr>
          <w:rFonts w:eastAsia="Calibri" w:cs="Arial"/>
          <w:color w:val="000000"/>
        </w:rPr>
        <w:t xml:space="preserve"> Complaints will be handled in accordance with the College of Law’s “Policy against Discrimin</w:t>
      </w:r>
      <w:r w:rsidRPr="00D14B1A">
        <w:rPr>
          <w:rFonts w:eastAsia="Calibri" w:cs="Arial"/>
          <w:color w:val="000000"/>
        </w:rPr>
        <w:t>a</w:t>
      </w:r>
      <w:r w:rsidRPr="00D14B1A">
        <w:rPr>
          <w:rFonts w:eastAsia="Calibri" w:cs="Arial"/>
          <w:color w:val="000000"/>
        </w:rPr>
        <w:t>tion and Haras</w:t>
      </w:r>
      <w:r w:rsidRPr="00D14B1A">
        <w:rPr>
          <w:rFonts w:eastAsia="Calibri" w:cs="Arial"/>
          <w:color w:val="000000"/>
        </w:rPr>
        <w:t>s</w:t>
      </w:r>
      <w:r w:rsidRPr="00D14B1A">
        <w:rPr>
          <w:rFonts w:eastAsia="Calibri" w:cs="Arial"/>
          <w:color w:val="000000"/>
        </w:rPr>
        <w:t>ment.”</w:t>
      </w:r>
    </w:p>
    <w:p w:rsidR="00D14B1A" w:rsidRDefault="00D14B1A">
      <w:pPr>
        <w:spacing w:after="160" w:line="259" w:lineRule="auto"/>
        <w:jc w:val="left"/>
      </w:pPr>
      <w:r>
        <w:br w:type="page"/>
      </w:r>
    </w:p>
    <w:p w:rsidR="00D14B1A" w:rsidRPr="00D14B1A" w:rsidRDefault="00D14B1A" w:rsidP="00204FF1">
      <w:pPr>
        <w:keepLines/>
        <w:spacing w:line="276" w:lineRule="auto"/>
        <w:rPr>
          <w:rFonts w:eastAsia="Times New Roman" w:cs="Arial"/>
          <w:b/>
          <w:bCs/>
          <w:spacing w:val="-5"/>
          <w:szCs w:val="24"/>
          <w:u w:val="single"/>
        </w:rPr>
      </w:pPr>
      <w:bookmarkStart w:id="0" w:name="_GoBack"/>
      <w:r w:rsidRPr="00D14B1A">
        <w:rPr>
          <w:rFonts w:eastAsia="Times New Roman" w:cs="Arial"/>
          <w:b/>
          <w:bCs/>
          <w:spacing w:val="-5"/>
          <w:szCs w:val="24"/>
          <w:u w:val="single"/>
        </w:rPr>
        <w:lastRenderedPageBreak/>
        <w:t>Western State College of Law – Programmatic Learning Outcomes</w:t>
      </w:r>
    </w:p>
    <w:p w:rsidR="00D14B1A" w:rsidRPr="00D14B1A" w:rsidRDefault="00D14B1A" w:rsidP="00204FF1">
      <w:pPr>
        <w:keepLines/>
        <w:spacing w:line="276" w:lineRule="auto"/>
        <w:rPr>
          <w:rFonts w:eastAsia="Times New Roman" w:cs="Arial"/>
          <w:b/>
          <w:bCs/>
          <w:spacing w:val="-5"/>
          <w:szCs w:val="24"/>
        </w:rPr>
      </w:pPr>
    </w:p>
    <w:p w:rsidR="00D14B1A" w:rsidRPr="00D14B1A" w:rsidRDefault="00D14B1A" w:rsidP="00204FF1">
      <w:pPr>
        <w:keepLines/>
        <w:spacing w:line="276" w:lineRule="auto"/>
        <w:rPr>
          <w:rFonts w:eastAsia="Times New Roman" w:cs="Arial"/>
          <w:b/>
          <w:bCs/>
          <w:spacing w:val="-5"/>
          <w:szCs w:val="24"/>
        </w:rPr>
      </w:pPr>
      <w:r w:rsidRPr="00D14B1A">
        <w:rPr>
          <w:rFonts w:eastAsia="Times New Roman" w:cs="Arial"/>
          <w:b/>
          <w:bCs/>
          <w:spacing w:val="-5"/>
          <w:szCs w:val="24"/>
        </w:rPr>
        <w:t>Western State College of Law’s curriculum is designed so that every student achieves a level of competency prior to graduation in each of the eight Programmatic Learning Outcomes listed below:</w:t>
      </w:r>
    </w:p>
    <w:p w:rsidR="00D14B1A" w:rsidRPr="00D14B1A" w:rsidRDefault="00D14B1A" w:rsidP="00204FF1">
      <w:pPr>
        <w:keepLines/>
        <w:spacing w:line="276" w:lineRule="auto"/>
        <w:rPr>
          <w:rFonts w:eastAsia="Times New Roman" w:cs="Arial"/>
          <w:b/>
          <w:bCs/>
          <w:spacing w:val="-5"/>
          <w:szCs w:val="24"/>
        </w:rPr>
      </w:pPr>
    </w:p>
    <w:p w:rsidR="00D14B1A" w:rsidRPr="00D14B1A" w:rsidRDefault="00D14B1A" w:rsidP="00204FF1">
      <w:pPr>
        <w:numPr>
          <w:ilvl w:val="0"/>
          <w:numId w:val="1"/>
        </w:numPr>
        <w:spacing w:line="276" w:lineRule="auto"/>
        <w:rPr>
          <w:rFonts w:eastAsia="Times New Roman" w:cs="Arial"/>
          <w:b/>
          <w:spacing w:val="-5"/>
          <w:szCs w:val="24"/>
          <w:u w:val="single"/>
        </w:rPr>
      </w:pPr>
      <w:r w:rsidRPr="00D14B1A">
        <w:rPr>
          <w:rFonts w:eastAsia="Times New Roman" w:cs="Arial"/>
          <w:b/>
          <w:spacing w:val="-5"/>
          <w:szCs w:val="24"/>
          <w:u w:val="single"/>
        </w:rPr>
        <w:t>Doctrinal Knowledge</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 xml:space="preserve">Students will demonstrate knowledge of substantive and procedural law in the core curriculum subjects, including Contracts, Criminal Law, Criminal Procedure, Torts, Real Property, Business Association, Evidence, Civil Procedures, Constitutional Law, Estates, Community Property, Remedies, and Professional Responsibility. </w:t>
      </w:r>
    </w:p>
    <w:p w:rsidR="00D14B1A" w:rsidRPr="00D14B1A" w:rsidRDefault="00D14B1A" w:rsidP="00204FF1">
      <w:pPr>
        <w:spacing w:line="276" w:lineRule="auto"/>
        <w:ind w:left="720"/>
        <w:rPr>
          <w:rFonts w:eastAsia="Times New Roman" w:cs="Arial"/>
          <w:spacing w:val="-5"/>
          <w:szCs w:val="24"/>
        </w:rPr>
      </w:pPr>
    </w:p>
    <w:p w:rsidR="00D14B1A" w:rsidRPr="00D14B1A" w:rsidRDefault="00D14B1A" w:rsidP="00204FF1">
      <w:pPr>
        <w:numPr>
          <w:ilvl w:val="0"/>
          <w:numId w:val="1"/>
        </w:numPr>
        <w:spacing w:line="276" w:lineRule="auto"/>
        <w:rPr>
          <w:rFonts w:eastAsia="Times New Roman" w:cs="Arial"/>
          <w:b/>
          <w:spacing w:val="-5"/>
          <w:szCs w:val="24"/>
        </w:rPr>
      </w:pPr>
      <w:r w:rsidRPr="00D14B1A">
        <w:rPr>
          <w:rFonts w:eastAsia="Times New Roman" w:cs="Arial"/>
          <w:b/>
          <w:spacing w:val="-5"/>
          <w:szCs w:val="24"/>
          <w:u w:val="single"/>
        </w:rPr>
        <w:t>Practice Skills</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Students will demonstrate the development of other law practice skills</w:t>
      </w:r>
      <w:r w:rsidR="00243AE0" w:rsidRPr="00D14B1A">
        <w:rPr>
          <w:rFonts w:eastAsia="Times New Roman" w:cs="Arial"/>
          <w:spacing w:val="-5"/>
          <w:szCs w:val="24"/>
        </w:rPr>
        <w:t xml:space="preserve">. </w:t>
      </w:r>
      <w:r w:rsidRPr="00D14B1A">
        <w:rPr>
          <w:rFonts w:eastAsia="Times New Roman" w:cs="Arial"/>
          <w:spacing w:val="-5"/>
          <w:szCs w:val="24"/>
        </w:rPr>
        <w:t>Each st</w:t>
      </w:r>
      <w:r w:rsidRPr="00D14B1A">
        <w:rPr>
          <w:rFonts w:eastAsia="Times New Roman" w:cs="Arial"/>
          <w:spacing w:val="-5"/>
          <w:szCs w:val="24"/>
        </w:rPr>
        <w:t>u</w:t>
      </w:r>
      <w:r w:rsidRPr="00D14B1A">
        <w:rPr>
          <w:rFonts w:eastAsia="Times New Roman" w:cs="Arial"/>
          <w:spacing w:val="-5"/>
          <w:szCs w:val="24"/>
        </w:rPr>
        <w:t>dent’s chosen outcomes within this category will be varied based on the student’s particular interests, coursework and work experiences</w:t>
      </w:r>
      <w:r w:rsidR="00243AE0" w:rsidRPr="00D14B1A">
        <w:rPr>
          <w:rFonts w:eastAsia="Times New Roman" w:cs="Arial"/>
          <w:spacing w:val="-5"/>
          <w:szCs w:val="24"/>
        </w:rPr>
        <w:t xml:space="preserve">. </w:t>
      </w:r>
      <w:r w:rsidRPr="00D14B1A">
        <w:rPr>
          <w:rFonts w:eastAsia="Times New Roman" w:cs="Arial"/>
          <w:spacing w:val="-5"/>
          <w:szCs w:val="24"/>
        </w:rPr>
        <w:t>They may include, but are not limited to, the following topics: oral presentation and advocacy; interviewing; counse</w:t>
      </w:r>
      <w:r w:rsidRPr="00D14B1A">
        <w:rPr>
          <w:rFonts w:eastAsia="Times New Roman" w:cs="Arial"/>
          <w:spacing w:val="-5"/>
          <w:szCs w:val="24"/>
        </w:rPr>
        <w:t>l</w:t>
      </w:r>
      <w:r w:rsidRPr="00D14B1A">
        <w:rPr>
          <w:rFonts w:eastAsia="Times New Roman" w:cs="Arial"/>
          <w:spacing w:val="-5"/>
          <w:szCs w:val="24"/>
        </w:rPr>
        <w:t>ing; client service and business development; negotiations, mediation, arbitration, or other alternate dispute resolution methods; advanced legal research and writing (e</w:t>
      </w:r>
      <w:r w:rsidRPr="00D14B1A">
        <w:rPr>
          <w:rFonts w:eastAsia="Times New Roman" w:cs="Arial"/>
          <w:spacing w:val="-5"/>
          <w:szCs w:val="24"/>
        </w:rPr>
        <w:t>x</w:t>
      </w:r>
      <w:r w:rsidRPr="00D14B1A">
        <w:rPr>
          <w:rFonts w:eastAsia="Times New Roman" w:cs="Arial"/>
          <w:spacing w:val="-5"/>
          <w:szCs w:val="24"/>
        </w:rPr>
        <w:t>cluding purely academic papers and the first four units earned in introductory first-year legal research and writing class); applied legal writing such as drafting contracts, pleadings, other legal instruments; law practice management or the use of technol</w:t>
      </w:r>
      <w:r w:rsidRPr="00D14B1A">
        <w:rPr>
          <w:rFonts w:eastAsia="Times New Roman" w:cs="Arial"/>
          <w:spacing w:val="-5"/>
          <w:szCs w:val="24"/>
        </w:rPr>
        <w:t>o</w:t>
      </w:r>
      <w:r w:rsidRPr="00D14B1A">
        <w:rPr>
          <w:rFonts w:eastAsia="Times New Roman" w:cs="Arial"/>
          <w:spacing w:val="-5"/>
          <w:szCs w:val="24"/>
        </w:rPr>
        <w:t>gy in law practice; cultural competency; collaboration or project management; fina</w:t>
      </w:r>
      <w:r w:rsidRPr="00D14B1A">
        <w:rPr>
          <w:rFonts w:eastAsia="Times New Roman" w:cs="Arial"/>
          <w:spacing w:val="-5"/>
          <w:szCs w:val="24"/>
        </w:rPr>
        <w:t>n</w:t>
      </w:r>
      <w:r w:rsidRPr="00D14B1A">
        <w:rPr>
          <w:rFonts w:eastAsia="Times New Roman" w:cs="Arial"/>
          <w:spacing w:val="-5"/>
          <w:szCs w:val="24"/>
        </w:rPr>
        <w:t>cial analysis, such as accounting, budgeting project management, and valuation; cost benefit analysis in administrative agencies; use of technology, data analyses, or pr</w:t>
      </w:r>
      <w:r w:rsidRPr="00D14B1A">
        <w:rPr>
          <w:rFonts w:eastAsia="Times New Roman" w:cs="Arial"/>
          <w:spacing w:val="-5"/>
          <w:szCs w:val="24"/>
        </w:rPr>
        <w:t>e</w:t>
      </w:r>
      <w:r w:rsidRPr="00D14B1A">
        <w:rPr>
          <w:rFonts w:eastAsia="Times New Roman" w:cs="Arial"/>
          <w:spacing w:val="-5"/>
          <w:szCs w:val="24"/>
        </w:rPr>
        <w:t>dictive coding; business strategy and behavior; pre-trial preparation, fact investig</w:t>
      </w:r>
      <w:r w:rsidRPr="00D14B1A">
        <w:rPr>
          <w:rFonts w:eastAsia="Times New Roman" w:cs="Arial"/>
          <w:spacing w:val="-5"/>
          <w:szCs w:val="24"/>
        </w:rPr>
        <w:t>a</w:t>
      </w:r>
      <w:r w:rsidRPr="00D14B1A">
        <w:rPr>
          <w:rFonts w:eastAsia="Times New Roman" w:cs="Arial"/>
          <w:spacing w:val="-5"/>
          <w:szCs w:val="24"/>
        </w:rPr>
        <w:t xml:space="preserve">tion, such as discovery, e-discovery, motion practice, assessing evidence, or utilizing experts; trial practice; professional civility and applied ethics; a law clinic that includes a classroom component; or a legal externship that includes a classroom component. </w:t>
      </w:r>
    </w:p>
    <w:p w:rsidR="00D14B1A" w:rsidRPr="00D14B1A" w:rsidRDefault="00D14B1A" w:rsidP="00204FF1">
      <w:pPr>
        <w:spacing w:line="276" w:lineRule="auto"/>
        <w:ind w:left="720"/>
        <w:rPr>
          <w:rFonts w:eastAsia="Times New Roman" w:cs="Arial"/>
          <w:spacing w:val="-5"/>
          <w:szCs w:val="24"/>
        </w:rPr>
      </w:pPr>
    </w:p>
    <w:p w:rsidR="00D14B1A" w:rsidRPr="00D14B1A" w:rsidRDefault="00D14B1A" w:rsidP="00204FF1">
      <w:pPr>
        <w:numPr>
          <w:ilvl w:val="0"/>
          <w:numId w:val="1"/>
        </w:numPr>
        <w:spacing w:line="276" w:lineRule="auto"/>
        <w:rPr>
          <w:rFonts w:eastAsia="Times New Roman" w:cs="Arial"/>
          <w:b/>
          <w:spacing w:val="-5"/>
          <w:szCs w:val="24"/>
          <w:u w:val="single"/>
        </w:rPr>
      </w:pPr>
      <w:r w:rsidRPr="00D14B1A">
        <w:rPr>
          <w:rFonts w:eastAsia="Times New Roman" w:cs="Arial"/>
          <w:b/>
          <w:spacing w:val="-5"/>
          <w:szCs w:val="24"/>
          <w:u w:val="single"/>
        </w:rPr>
        <w:t xml:space="preserve">Legal Analysis </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Students will demonstrate the ability to identify the factual and legal issues implicated by a fact pattern and to appropriately use cases (including identifying the salient fe</w:t>
      </w:r>
      <w:r w:rsidRPr="00D14B1A">
        <w:rPr>
          <w:rFonts w:eastAsia="Times New Roman" w:cs="Arial"/>
          <w:spacing w:val="-5"/>
          <w:szCs w:val="24"/>
        </w:rPr>
        <w:t>a</w:t>
      </w:r>
      <w:r w:rsidRPr="00D14B1A">
        <w:rPr>
          <w:rFonts w:eastAsia="Times New Roman" w:cs="Arial"/>
          <w:spacing w:val="-5"/>
          <w:szCs w:val="24"/>
        </w:rPr>
        <w:t>tures of an appropriate precedent case, identifying legally significant similarities or di</w:t>
      </w:r>
      <w:r w:rsidRPr="00D14B1A">
        <w:rPr>
          <w:rFonts w:eastAsia="Times New Roman" w:cs="Arial"/>
          <w:spacing w:val="-5"/>
          <w:szCs w:val="24"/>
        </w:rPr>
        <w:t>f</w:t>
      </w:r>
      <w:r w:rsidRPr="00D14B1A">
        <w:rPr>
          <w:rFonts w:eastAsia="Times New Roman" w:cs="Arial"/>
          <w:spacing w:val="-5"/>
          <w:szCs w:val="24"/>
        </w:rPr>
        <w:t>ferences between the precedent case and a fact pattern and explaining</w:t>
      </w:r>
      <w:r w:rsidRPr="00D14B1A">
        <w:rPr>
          <w:rFonts w:eastAsia="Times New Roman" w:cs="Arial"/>
          <w:color w:val="C00000"/>
          <w:spacing w:val="-5"/>
          <w:szCs w:val="24"/>
        </w:rPr>
        <w:t xml:space="preserve"> </w:t>
      </w:r>
      <w:r w:rsidRPr="00D14B1A">
        <w:rPr>
          <w:rFonts w:eastAsia="Times New Roman" w:cs="Arial"/>
          <w:spacing w:val="-5"/>
          <w:szCs w:val="24"/>
        </w:rPr>
        <w:t>why those are legally significant) and rules (including the ability to connect legally significant facts in a fact pattern to the rule) to predict how a court would decide the issue.  St</w:t>
      </w:r>
      <w:r w:rsidRPr="00D14B1A">
        <w:rPr>
          <w:rFonts w:eastAsia="Times New Roman" w:cs="Arial"/>
          <w:spacing w:val="-5"/>
          <w:szCs w:val="24"/>
        </w:rPr>
        <w:t>u</w:t>
      </w:r>
      <w:r w:rsidRPr="00D14B1A">
        <w:rPr>
          <w:rFonts w:eastAsia="Times New Roman" w:cs="Arial"/>
          <w:spacing w:val="-5"/>
          <w:szCs w:val="24"/>
        </w:rPr>
        <w:t>dents will also demonstrate the ability to identify and evaluate the public policies of a precedent case or rule, and be able to evaluate how public policy can impact the a</w:t>
      </w:r>
      <w:r w:rsidRPr="00D14B1A">
        <w:rPr>
          <w:rFonts w:eastAsia="Times New Roman" w:cs="Arial"/>
          <w:spacing w:val="-5"/>
          <w:szCs w:val="24"/>
        </w:rPr>
        <w:t>p</w:t>
      </w:r>
      <w:r w:rsidRPr="00D14B1A">
        <w:rPr>
          <w:rFonts w:eastAsia="Times New Roman" w:cs="Arial"/>
          <w:spacing w:val="-5"/>
          <w:szCs w:val="24"/>
        </w:rPr>
        <w:t xml:space="preserve">plication of a rule to the legal issue. </w:t>
      </w:r>
    </w:p>
    <w:p w:rsidR="00D14B1A" w:rsidRPr="00D14B1A" w:rsidRDefault="00D14B1A" w:rsidP="00204FF1">
      <w:pPr>
        <w:spacing w:line="276" w:lineRule="auto"/>
        <w:ind w:left="720"/>
        <w:rPr>
          <w:rFonts w:eastAsia="Times New Roman" w:cs="Arial"/>
          <w:b/>
          <w:spacing w:val="-5"/>
          <w:szCs w:val="24"/>
        </w:rPr>
      </w:pPr>
    </w:p>
    <w:p w:rsidR="00D14B1A" w:rsidRPr="00D14B1A" w:rsidRDefault="00D14B1A" w:rsidP="00204FF1">
      <w:pPr>
        <w:numPr>
          <w:ilvl w:val="0"/>
          <w:numId w:val="1"/>
        </w:numPr>
        <w:spacing w:line="276" w:lineRule="auto"/>
        <w:rPr>
          <w:rFonts w:eastAsia="Times New Roman" w:cs="Arial"/>
          <w:b/>
          <w:spacing w:val="-5"/>
          <w:szCs w:val="24"/>
          <w:u w:val="single"/>
        </w:rPr>
      </w:pPr>
      <w:r w:rsidRPr="00D14B1A">
        <w:rPr>
          <w:rFonts w:eastAsia="Times New Roman" w:cs="Arial"/>
          <w:b/>
          <w:spacing w:val="-5"/>
          <w:szCs w:val="24"/>
          <w:u w:val="single"/>
        </w:rPr>
        <w:t>Legal Research</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 xml:space="preserve">Students will demonstrate the ability to locate relevant legal authority using a variety of book and electronic resources, and to properly cite to such legal authority. </w:t>
      </w:r>
    </w:p>
    <w:p w:rsidR="00D14B1A" w:rsidRPr="00D14B1A" w:rsidRDefault="00D14B1A" w:rsidP="00204FF1">
      <w:pPr>
        <w:spacing w:line="276" w:lineRule="auto"/>
        <w:ind w:left="720"/>
        <w:rPr>
          <w:rFonts w:eastAsia="Times New Roman" w:cs="Arial"/>
          <w:spacing w:val="-5"/>
          <w:szCs w:val="24"/>
          <w:u w:val="single"/>
        </w:rPr>
      </w:pPr>
    </w:p>
    <w:p w:rsidR="00D14B1A" w:rsidRPr="00D14B1A" w:rsidRDefault="00D14B1A" w:rsidP="00204FF1">
      <w:pPr>
        <w:numPr>
          <w:ilvl w:val="0"/>
          <w:numId w:val="1"/>
        </w:numPr>
        <w:spacing w:line="276" w:lineRule="auto"/>
        <w:rPr>
          <w:rFonts w:eastAsia="Times New Roman" w:cs="Arial"/>
          <w:b/>
          <w:spacing w:val="-5"/>
          <w:szCs w:val="24"/>
        </w:rPr>
      </w:pPr>
      <w:r w:rsidRPr="00D14B1A">
        <w:rPr>
          <w:rFonts w:eastAsia="Times New Roman" w:cs="Arial"/>
          <w:b/>
          <w:spacing w:val="-5"/>
          <w:szCs w:val="24"/>
          <w:u w:val="single"/>
        </w:rPr>
        <w:t>Communication</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Students will demonstrate the ability to communicate both orally and in writing in a manner appropriate to a particular task to effectively convey the author or speaker’s ideas</w:t>
      </w:r>
      <w:r w:rsidR="00243AE0" w:rsidRPr="00D14B1A">
        <w:rPr>
          <w:rFonts w:eastAsia="Times New Roman" w:cs="Arial"/>
          <w:spacing w:val="-5"/>
          <w:szCs w:val="24"/>
        </w:rPr>
        <w:t xml:space="preserve">. </w:t>
      </w:r>
      <w:r w:rsidRPr="00D14B1A">
        <w:rPr>
          <w:rFonts w:eastAsia="Times New Roman" w:cs="Arial"/>
          <w:spacing w:val="-5"/>
          <w:szCs w:val="24"/>
        </w:rPr>
        <w:t>This includes audience sensitivity in written and oral communication (the ability to adopt a tone, style and level of detail appropriate to the needs, knowledge and e</w:t>
      </w:r>
      <w:r w:rsidRPr="00D14B1A">
        <w:rPr>
          <w:rFonts w:eastAsia="Times New Roman" w:cs="Arial"/>
          <w:spacing w:val="-5"/>
          <w:szCs w:val="24"/>
        </w:rPr>
        <w:t>x</w:t>
      </w:r>
      <w:r w:rsidRPr="00D14B1A">
        <w:rPr>
          <w:rFonts w:eastAsia="Times New Roman" w:cs="Arial"/>
          <w:spacing w:val="-5"/>
          <w:szCs w:val="24"/>
        </w:rPr>
        <w:t>pertise of the audience); and written communication basic proficiency (the ability to use the conventions of grammar, spelling, punctuation, diction and usage appropriate to the task and sufficient to convey effectively the author’s ideas).</w:t>
      </w:r>
    </w:p>
    <w:p w:rsidR="00D14B1A" w:rsidRPr="00D14B1A" w:rsidRDefault="00D14B1A" w:rsidP="00204FF1">
      <w:pPr>
        <w:spacing w:line="276" w:lineRule="auto"/>
        <w:ind w:left="720"/>
        <w:rPr>
          <w:rFonts w:eastAsia="Times New Roman" w:cs="Arial"/>
          <w:spacing w:val="-5"/>
          <w:szCs w:val="24"/>
        </w:rPr>
      </w:pPr>
    </w:p>
    <w:p w:rsidR="00D14B1A" w:rsidRPr="00D14B1A" w:rsidRDefault="00D14B1A" w:rsidP="00204FF1">
      <w:pPr>
        <w:numPr>
          <w:ilvl w:val="0"/>
          <w:numId w:val="1"/>
        </w:numPr>
        <w:spacing w:line="276" w:lineRule="auto"/>
        <w:rPr>
          <w:rFonts w:eastAsia="Times New Roman" w:cs="Arial"/>
          <w:b/>
          <w:spacing w:val="-5"/>
          <w:szCs w:val="24"/>
          <w:u w:val="single"/>
        </w:rPr>
      </w:pPr>
      <w:r w:rsidRPr="00D14B1A">
        <w:rPr>
          <w:rFonts w:eastAsia="Times New Roman" w:cs="Arial"/>
          <w:b/>
          <w:spacing w:val="-5"/>
          <w:szCs w:val="24"/>
          <w:u w:val="single"/>
        </w:rPr>
        <w:t>Advocacy of Legal Argument</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Students will demonstrate the ability, in both oral and written formats, to evaluate the legal, economic and social strengths and weaknesses of a case and use case and statutory authority as well as public policy to persuade others</w:t>
      </w:r>
      <w:r w:rsidR="00243AE0" w:rsidRPr="00D14B1A">
        <w:rPr>
          <w:rFonts w:eastAsia="Times New Roman" w:cs="Arial"/>
          <w:spacing w:val="-5"/>
          <w:szCs w:val="24"/>
        </w:rPr>
        <w:t xml:space="preserve">. </w:t>
      </w:r>
      <w:r w:rsidRPr="00D14B1A">
        <w:rPr>
          <w:rFonts w:eastAsia="Times New Roman" w:cs="Arial"/>
          <w:spacing w:val="-5"/>
          <w:szCs w:val="24"/>
        </w:rPr>
        <w:t>Making policy-based arguments includes the ability to identify and evaluate the public policies of a prec</w:t>
      </w:r>
      <w:r w:rsidRPr="00D14B1A">
        <w:rPr>
          <w:rFonts w:eastAsia="Times New Roman" w:cs="Arial"/>
          <w:spacing w:val="-5"/>
          <w:szCs w:val="24"/>
        </w:rPr>
        <w:t>e</w:t>
      </w:r>
      <w:r w:rsidRPr="00D14B1A">
        <w:rPr>
          <w:rFonts w:eastAsia="Times New Roman" w:cs="Arial"/>
          <w:spacing w:val="-5"/>
          <w:szCs w:val="24"/>
        </w:rPr>
        <w:t>dent case or rule and their implications, and be able to assert such appropriate a</w:t>
      </w:r>
      <w:r w:rsidRPr="00D14B1A">
        <w:rPr>
          <w:rFonts w:eastAsia="Times New Roman" w:cs="Arial"/>
          <w:spacing w:val="-5"/>
          <w:szCs w:val="24"/>
        </w:rPr>
        <w:t>r</w:t>
      </w:r>
      <w:r w:rsidRPr="00D14B1A">
        <w:rPr>
          <w:rFonts w:eastAsia="Times New Roman" w:cs="Arial"/>
          <w:spacing w:val="-5"/>
          <w:szCs w:val="24"/>
        </w:rPr>
        <w:t>guments to support a particular application or distinction of a precedent case to a l</w:t>
      </w:r>
      <w:r w:rsidRPr="00D14B1A">
        <w:rPr>
          <w:rFonts w:eastAsia="Times New Roman" w:cs="Arial"/>
          <w:spacing w:val="-5"/>
          <w:szCs w:val="24"/>
        </w:rPr>
        <w:t>e</w:t>
      </w:r>
      <w:r w:rsidRPr="00D14B1A">
        <w:rPr>
          <w:rFonts w:eastAsia="Times New Roman" w:cs="Arial"/>
          <w:spacing w:val="-5"/>
          <w:szCs w:val="24"/>
        </w:rPr>
        <w:t>gal controversy or a particular resolution of the application of a rule to the legal co</w:t>
      </w:r>
      <w:r w:rsidRPr="00D14B1A">
        <w:rPr>
          <w:rFonts w:eastAsia="Times New Roman" w:cs="Arial"/>
          <w:spacing w:val="-5"/>
          <w:szCs w:val="24"/>
        </w:rPr>
        <w:t>n</w:t>
      </w:r>
      <w:r w:rsidRPr="00D14B1A">
        <w:rPr>
          <w:rFonts w:eastAsia="Times New Roman" w:cs="Arial"/>
          <w:spacing w:val="-5"/>
          <w:szCs w:val="24"/>
        </w:rPr>
        <w:t xml:space="preserve">troversy. </w:t>
      </w:r>
    </w:p>
    <w:p w:rsidR="00D14B1A" w:rsidRPr="00D14B1A" w:rsidRDefault="00D14B1A" w:rsidP="00204FF1">
      <w:pPr>
        <w:spacing w:line="276" w:lineRule="auto"/>
        <w:rPr>
          <w:rFonts w:eastAsia="Times New Roman" w:cs="Arial"/>
          <w:b/>
          <w:spacing w:val="-5"/>
          <w:szCs w:val="24"/>
          <w:u w:val="single"/>
        </w:rPr>
      </w:pPr>
    </w:p>
    <w:p w:rsidR="00D14B1A" w:rsidRPr="00D14B1A" w:rsidRDefault="00D14B1A" w:rsidP="00204FF1">
      <w:pPr>
        <w:numPr>
          <w:ilvl w:val="0"/>
          <w:numId w:val="1"/>
        </w:numPr>
        <w:spacing w:line="276" w:lineRule="auto"/>
        <w:rPr>
          <w:rFonts w:eastAsia="Times New Roman" w:cs="Arial"/>
          <w:b/>
          <w:spacing w:val="-5"/>
          <w:szCs w:val="24"/>
          <w:u w:val="single"/>
        </w:rPr>
      </w:pPr>
      <w:r w:rsidRPr="00D14B1A">
        <w:rPr>
          <w:rFonts w:eastAsia="Times New Roman" w:cs="Arial"/>
          <w:b/>
          <w:spacing w:val="-5"/>
          <w:szCs w:val="24"/>
          <w:u w:val="single"/>
        </w:rPr>
        <w:t>Client Sensitivity and Cultural Competency</w:t>
      </w:r>
    </w:p>
    <w:p w:rsidR="00D14B1A" w:rsidRPr="00D14B1A" w:rsidRDefault="00D14B1A" w:rsidP="00204FF1">
      <w:pPr>
        <w:spacing w:line="276" w:lineRule="auto"/>
        <w:ind w:left="720"/>
        <w:rPr>
          <w:rFonts w:eastAsia="Times New Roman" w:cs="Arial"/>
          <w:spacing w:val="-5"/>
          <w:szCs w:val="24"/>
        </w:rPr>
      </w:pPr>
      <w:r w:rsidRPr="00D14B1A">
        <w:rPr>
          <w:rFonts w:eastAsia="Times New Roman" w:cs="Arial"/>
          <w:spacing w:val="-5"/>
          <w:szCs w:val="24"/>
        </w:rPr>
        <w:t>Students will demonstrate an awareness of clients’ needs and goals, including a se</w:t>
      </w:r>
      <w:r w:rsidRPr="00D14B1A">
        <w:rPr>
          <w:rFonts w:eastAsia="Times New Roman" w:cs="Arial"/>
          <w:spacing w:val="-5"/>
          <w:szCs w:val="24"/>
        </w:rPr>
        <w:t>n</w:t>
      </w:r>
      <w:r w:rsidRPr="00D14B1A">
        <w:rPr>
          <w:rFonts w:eastAsia="Times New Roman" w:cs="Arial"/>
          <w:spacing w:val="-5"/>
          <w:szCs w:val="24"/>
        </w:rPr>
        <w:t>sitivity to clients’ background and circumstances (including, but not limited to, socio-economic, gender, race, ethnicity, educational, disability and/or religious bac</w:t>
      </w:r>
      <w:r w:rsidRPr="00D14B1A">
        <w:rPr>
          <w:rFonts w:eastAsia="Times New Roman" w:cs="Arial"/>
          <w:spacing w:val="-5"/>
          <w:szCs w:val="24"/>
        </w:rPr>
        <w:t>k</w:t>
      </w:r>
      <w:r w:rsidRPr="00D14B1A">
        <w:rPr>
          <w:rFonts w:eastAsia="Times New Roman" w:cs="Arial"/>
          <w:spacing w:val="-5"/>
          <w:szCs w:val="24"/>
        </w:rPr>
        <w:t>ground(s)), the ability to make decisions that reflect an appropriate focus on those needs and goals, and awareness that cultural issues may affect the relevance of facts and application of the law.</w:t>
      </w:r>
    </w:p>
    <w:p w:rsidR="00D14B1A" w:rsidRPr="00D14B1A" w:rsidRDefault="00D14B1A" w:rsidP="00204FF1">
      <w:pPr>
        <w:spacing w:line="276" w:lineRule="auto"/>
        <w:ind w:left="720"/>
        <w:rPr>
          <w:rFonts w:eastAsia="Times New Roman" w:cs="Arial"/>
          <w:b/>
          <w:spacing w:val="-5"/>
          <w:szCs w:val="24"/>
        </w:rPr>
      </w:pPr>
    </w:p>
    <w:p w:rsidR="00D14B1A" w:rsidRPr="00D14B1A" w:rsidRDefault="00D14B1A" w:rsidP="00204FF1">
      <w:pPr>
        <w:numPr>
          <w:ilvl w:val="0"/>
          <w:numId w:val="1"/>
        </w:numPr>
        <w:spacing w:line="276" w:lineRule="auto"/>
        <w:rPr>
          <w:rFonts w:eastAsia="Times New Roman" w:cs="Arial"/>
          <w:b/>
          <w:spacing w:val="-5"/>
          <w:szCs w:val="24"/>
          <w:u w:val="single"/>
        </w:rPr>
      </w:pPr>
      <w:r w:rsidRPr="00D14B1A">
        <w:rPr>
          <w:rFonts w:eastAsia="Times New Roman" w:cs="Arial"/>
          <w:b/>
          <w:spacing w:val="-5"/>
          <w:szCs w:val="24"/>
          <w:u w:val="single"/>
        </w:rPr>
        <w:t>Legal Ethics</w:t>
      </w:r>
    </w:p>
    <w:p w:rsidR="00D14B1A" w:rsidRPr="00D14B1A" w:rsidRDefault="00D14B1A" w:rsidP="00204FF1">
      <w:pPr>
        <w:spacing w:line="276" w:lineRule="auto"/>
        <w:ind w:left="720"/>
        <w:rPr>
          <w:rFonts w:eastAsia="Times New Roman" w:cs="Arial"/>
          <w:b/>
          <w:spacing w:val="-5"/>
          <w:szCs w:val="24"/>
        </w:rPr>
      </w:pPr>
      <w:r w:rsidRPr="00D14B1A">
        <w:rPr>
          <w:rFonts w:eastAsia="Times New Roman" w:cs="Arial"/>
          <w:spacing w:val="-5"/>
          <w:szCs w:val="24"/>
        </w:rPr>
        <w:t>Students will demonstrate the ability to identify ethical issues in law practice contexts and make appropriate decisions to resolve such issues.</w:t>
      </w:r>
    </w:p>
    <w:bookmarkEnd w:id="0"/>
    <w:p w:rsidR="00D14B1A" w:rsidRPr="00D14B1A" w:rsidRDefault="00D14B1A" w:rsidP="00D14B1A">
      <w:pPr>
        <w:jc w:val="left"/>
        <w:rPr>
          <w:rFonts w:eastAsia="Times New Roman" w:cs="Arial"/>
          <w:spacing w:val="-5"/>
          <w:szCs w:val="24"/>
          <w:u w:val="single"/>
        </w:rPr>
      </w:pPr>
    </w:p>
    <w:p w:rsidR="00D14B1A" w:rsidRPr="00D14B1A" w:rsidRDefault="00D14B1A" w:rsidP="00D14B1A">
      <w:pPr>
        <w:ind w:left="720"/>
        <w:jc w:val="left"/>
        <w:rPr>
          <w:rFonts w:eastAsia="Times New Roman" w:cs="Arial"/>
          <w:spacing w:val="-5"/>
          <w:szCs w:val="24"/>
        </w:rPr>
      </w:pPr>
    </w:p>
    <w:p w:rsidR="00D14B1A" w:rsidRDefault="00D14B1A">
      <w:pPr>
        <w:spacing w:after="160" w:line="259" w:lineRule="auto"/>
        <w:jc w:val="left"/>
        <w:rPr>
          <w:rFonts w:eastAsia="Times New Roman" w:cs="Arial"/>
          <w:b/>
          <w:szCs w:val="24"/>
        </w:rPr>
      </w:pPr>
      <w:r>
        <w:rPr>
          <w:rFonts w:eastAsia="Times New Roman" w:cs="Arial"/>
          <w:b/>
          <w:szCs w:val="24"/>
        </w:rPr>
        <w:br w:type="page"/>
      </w:r>
    </w:p>
    <w:p w:rsidR="00D14B1A" w:rsidRPr="00D14B1A" w:rsidRDefault="00D14B1A" w:rsidP="00D14B1A">
      <w:pPr>
        <w:jc w:val="left"/>
        <w:rPr>
          <w:rFonts w:eastAsia="Times New Roman" w:cs="Arial"/>
          <w:b/>
          <w:szCs w:val="24"/>
        </w:rPr>
      </w:pPr>
      <w:r w:rsidRPr="00D14B1A">
        <w:rPr>
          <w:rFonts w:eastAsia="Times New Roman" w:cs="Arial"/>
          <w:b/>
          <w:szCs w:val="24"/>
        </w:rPr>
        <w:lastRenderedPageBreak/>
        <w:t>Argosy University</w:t>
      </w:r>
    </w:p>
    <w:p w:rsidR="00D14B1A" w:rsidRPr="00D14B1A" w:rsidRDefault="00D14B1A" w:rsidP="00D14B1A">
      <w:pPr>
        <w:jc w:val="left"/>
        <w:rPr>
          <w:rFonts w:eastAsia="Times New Roman" w:cs="Arial"/>
          <w:b/>
          <w:szCs w:val="24"/>
        </w:rPr>
      </w:pPr>
      <w:r w:rsidRPr="00D14B1A">
        <w:rPr>
          <w:rFonts w:eastAsia="Times New Roman" w:cs="Arial"/>
          <w:b/>
          <w:szCs w:val="24"/>
        </w:rPr>
        <w:t>Institutional Learning Outcomes:</w:t>
      </w:r>
    </w:p>
    <w:p w:rsidR="00D14B1A" w:rsidRPr="00D14B1A" w:rsidRDefault="00D14B1A" w:rsidP="00D14B1A">
      <w:pPr>
        <w:jc w:val="left"/>
        <w:rPr>
          <w:rFonts w:eastAsia="Times New Roman" w:cs="Arial"/>
          <w:b/>
          <w:szCs w:val="24"/>
        </w:rPr>
      </w:pPr>
    </w:p>
    <w:p w:rsidR="00D14B1A" w:rsidRPr="00D14B1A" w:rsidRDefault="00D14B1A" w:rsidP="00D14B1A">
      <w:pPr>
        <w:numPr>
          <w:ilvl w:val="0"/>
          <w:numId w:val="2"/>
        </w:numPr>
        <w:jc w:val="left"/>
        <w:rPr>
          <w:rFonts w:eastAsia="Times New Roman" w:cs="Arial"/>
          <w:b/>
          <w:szCs w:val="24"/>
        </w:rPr>
      </w:pPr>
      <w:r w:rsidRPr="00D14B1A">
        <w:rPr>
          <w:rFonts w:eastAsia="Times New Roman" w:cs="Arial"/>
          <w:b/>
          <w:szCs w:val="24"/>
        </w:rPr>
        <w:t>Analytical Reasoning</w:t>
      </w:r>
    </w:p>
    <w:p w:rsidR="00D14B1A" w:rsidRPr="00D14B1A" w:rsidRDefault="00D14B1A" w:rsidP="00D14B1A">
      <w:pPr>
        <w:ind w:left="360"/>
        <w:contextualSpacing/>
        <w:jc w:val="left"/>
        <w:rPr>
          <w:rFonts w:eastAsia="Times New Roman" w:cs="Arial"/>
          <w:szCs w:val="24"/>
        </w:rPr>
      </w:pPr>
      <w:r w:rsidRPr="00D14B1A">
        <w:rPr>
          <w:rFonts w:eastAsia="Times New Roman" w:cs="Arial"/>
          <w:szCs w:val="24"/>
        </w:rPr>
        <w:t>Analyze issues objectively, interpret and synthesize data and ideas, and develop feasible, flexible, and creative solutions to real world problems</w:t>
      </w:r>
    </w:p>
    <w:p w:rsidR="00D14B1A" w:rsidRPr="00D14B1A" w:rsidRDefault="00D14B1A" w:rsidP="00D14B1A">
      <w:pPr>
        <w:ind w:left="360"/>
        <w:contextualSpacing/>
        <w:jc w:val="left"/>
        <w:rPr>
          <w:rFonts w:eastAsia="Times New Roman" w:cs="Arial"/>
          <w:szCs w:val="24"/>
        </w:rPr>
      </w:pPr>
    </w:p>
    <w:p w:rsidR="00D14B1A" w:rsidRPr="00D14B1A" w:rsidRDefault="00D14B1A" w:rsidP="00D14B1A">
      <w:pPr>
        <w:numPr>
          <w:ilvl w:val="0"/>
          <w:numId w:val="2"/>
        </w:numPr>
        <w:jc w:val="left"/>
        <w:rPr>
          <w:rFonts w:eastAsia="Times New Roman" w:cs="Arial"/>
          <w:b/>
          <w:szCs w:val="24"/>
        </w:rPr>
      </w:pPr>
      <w:r w:rsidRPr="00D14B1A">
        <w:rPr>
          <w:rFonts w:eastAsia="Times New Roman" w:cs="Arial"/>
          <w:b/>
          <w:szCs w:val="24"/>
        </w:rPr>
        <w:t>Effective Communication</w:t>
      </w:r>
    </w:p>
    <w:p w:rsidR="00D14B1A" w:rsidRPr="00D14B1A" w:rsidRDefault="00D14B1A" w:rsidP="00D14B1A">
      <w:pPr>
        <w:ind w:left="360"/>
        <w:contextualSpacing/>
        <w:jc w:val="left"/>
        <w:rPr>
          <w:rFonts w:eastAsia="Times New Roman" w:cs="Arial"/>
          <w:szCs w:val="24"/>
        </w:rPr>
      </w:pPr>
      <w:r w:rsidRPr="00D14B1A">
        <w:rPr>
          <w:rFonts w:eastAsia="Times New Roman" w:cs="Arial"/>
          <w:szCs w:val="24"/>
        </w:rPr>
        <w:t>Identify audiences, assess information provided, interpret needs, and present rel</w:t>
      </w:r>
      <w:r w:rsidRPr="00D14B1A">
        <w:rPr>
          <w:rFonts w:eastAsia="Times New Roman" w:cs="Arial"/>
          <w:szCs w:val="24"/>
        </w:rPr>
        <w:t>e</w:t>
      </w:r>
      <w:r w:rsidRPr="00D14B1A">
        <w:rPr>
          <w:rFonts w:eastAsia="Times New Roman" w:cs="Arial"/>
          <w:szCs w:val="24"/>
        </w:rPr>
        <w:t>vant information using appropriate written, oral, and listening skills and media to meet the needs of the situation</w:t>
      </w:r>
    </w:p>
    <w:p w:rsidR="00D14B1A" w:rsidRPr="00D14B1A" w:rsidRDefault="00D14B1A" w:rsidP="00D14B1A">
      <w:pPr>
        <w:ind w:left="360"/>
        <w:contextualSpacing/>
        <w:jc w:val="left"/>
        <w:rPr>
          <w:rFonts w:eastAsia="Times New Roman" w:cs="Arial"/>
          <w:szCs w:val="24"/>
        </w:rPr>
      </w:pPr>
    </w:p>
    <w:p w:rsidR="00D14B1A" w:rsidRPr="00D14B1A" w:rsidRDefault="00D14B1A" w:rsidP="00D14B1A">
      <w:pPr>
        <w:numPr>
          <w:ilvl w:val="0"/>
          <w:numId w:val="2"/>
        </w:numPr>
        <w:jc w:val="left"/>
        <w:rPr>
          <w:rFonts w:eastAsia="Times New Roman" w:cs="Arial"/>
          <w:b/>
          <w:szCs w:val="24"/>
        </w:rPr>
      </w:pPr>
      <w:r w:rsidRPr="00D14B1A">
        <w:rPr>
          <w:rFonts w:eastAsia="Times New Roman" w:cs="Arial"/>
          <w:b/>
          <w:szCs w:val="24"/>
        </w:rPr>
        <w:t xml:space="preserve">Information Competency  </w:t>
      </w:r>
    </w:p>
    <w:p w:rsidR="00D14B1A" w:rsidRPr="00D14B1A" w:rsidRDefault="00D14B1A" w:rsidP="00D14B1A">
      <w:pPr>
        <w:ind w:left="360"/>
        <w:contextualSpacing/>
        <w:jc w:val="left"/>
        <w:rPr>
          <w:rFonts w:eastAsia="Times New Roman" w:cs="Arial"/>
          <w:szCs w:val="24"/>
        </w:rPr>
      </w:pPr>
      <w:r w:rsidRPr="00D14B1A">
        <w:rPr>
          <w:rFonts w:eastAsia="Times New Roman" w:cs="Arial"/>
          <w:szCs w:val="24"/>
        </w:rPr>
        <w:t>Gather, evaluate, and ethically use information from a variety of relevant technolog</w:t>
      </w:r>
      <w:r w:rsidRPr="00D14B1A">
        <w:rPr>
          <w:rFonts w:eastAsia="Times New Roman" w:cs="Arial"/>
          <w:szCs w:val="24"/>
        </w:rPr>
        <w:t>i</w:t>
      </w:r>
      <w:r w:rsidRPr="00D14B1A">
        <w:rPr>
          <w:rFonts w:eastAsia="Times New Roman" w:cs="Arial"/>
          <w:szCs w:val="24"/>
        </w:rPr>
        <w:t>cal and library resources to make decisions and take action</w:t>
      </w:r>
    </w:p>
    <w:p w:rsidR="00D14B1A" w:rsidRPr="00D14B1A" w:rsidRDefault="00D14B1A" w:rsidP="00D14B1A">
      <w:pPr>
        <w:ind w:left="360"/>
        <w:contextualSpacing/>
        <w:jc w:val="left"/>
        <w:rPr>
          <w:rFonts w:eastAsia="Times New Roman" w:cs="Arial"/>
          <w:szCs w:val="24"/>
        </w:rPr>
      </w:pPr>
    </w:p>
    <w:p w:rsidR="00D14B1A" w:rsidRPr="00D14B1A" w:rsidRDefault="00D14B1A" w:rsidP="00D14B1A">
      <w:pPr>
        <w:numPr>
          <w:ilvl w:val="0"/>
          <w:numId w:val="2"/>
        </w:numPr>
        <w:jc w:val="left"/>
        <w:rPr>
          <w:rFonts w:eastAsia="Times New Roman" w:cs="Arial"/>
          <w:b/>
          <w:szCs w:val="24"/>
        </w:rPr>
      </w:pPr>
      <w:r w:rsidRPr="00D14B1A">
        <w:rPr>
          <w:rFonts w:eastAsia="Times New Roman" w:cs="Arial"/>
          <w:b/>
          <w:szCs w:val="24"/>
        </w:rPr>
        <w:t>Interpersonal Effectiveness</w:t>
      </w:r>
    </w:p>
    <w:p w:rsidR="00D14B1A" w:rsidRPr="00D14B1A" w:rsidRDefault="00D14B1A" w:rsidP="00D14B1A">
      <w:pPr>
        <w:ind w:left="360"/>
        <w:contextualSpacing/>
        <w:jc w:val="left"/>
        <w:rPr>
          <w:rFonts w:eastAsia="Times New Roman" w:cs="Arial"/>
          <w:szCs w:val="24"/>
        </w:rPr>
      </w:pPr>
      <w:r w:rsidRPr="00D14B1A">
        <w:rPr>
          <w:rFonts w:eastAsia="Times New Roman" w:cs="Arial"/>
          <w:szCs w:val="24"/>
        </w:rPr>
        <w:t>Develop individual and group interpersonal skills to improve and foster participation and interaction critical for achieving individual and group goals</w:t>
      </w:r>
    </w:p>
    <w:p w:rsidR="00D14B1A" w:rsidRPr="00D14B1A" w:rsidRDefault="00D14B1A" w:rsidP="00D14B1A">
      <w:pPr>
        <w:ind w:left="360"/>
        <w:contextualSpacing/>
        <w:jc w:val="left"/>
        <w:rPr>
          <w:rFonts w:eastAsia="Times New Roman" w:cs="Arial"/>
          <w:szCs w:val="24"/>
        </w:rPr>
      </w:pPr>
    </w:p>
    <w:p w:rsidR="00D14B1A" w:rsidRPr="00D14B1A" w:rsidRDefault="00D14B1A" w:rsidP="00D14B1A">
      <w:pPr>
        <w:numPr>
          <w:ilvl w:val="0"/>
          <w:numId w:val="2"/>
        </w:numPr>
        <w:jc w:val="left"/>
        <w:rPr>
          <w:rFonts w:eastAsia="Times New Roman" w:cs="Arial"/>
          <w:b/>
          <w:szCs w:val="24"/>
        </w:rPr>
      </w:pPr>
      <w:r w:rsidRPr="00D14B1A">
        <w:rPr>
          <w:rFonts w:eastAsia="Times New Roman" w:cs="Arial"/>
          <w:b/>
          <w:szCs w:val="24"/>
        </w:rPr>
        <w:t xml:space="preserve">Personal and Professional Integrity and Ethical Behavior </w:t>
      </w:r>
    </w:p>
    <w:p w:rsidR="00D14B1A" w:rsidRPr="00D14B1A" w:rsidRDefault="00D14B1A" w:rsidP="00D14B1A">
      <w:pPr>
        <w:ind w:left="360"/>
        <w:contextualSpacing/>
        <w:jc w:val="left"/>
        <w:rPr>
          <w:rFonts w:eastAsia="Times New Roman" w:cs="Arial"/>
          <w:szCs w:val="24"/>
        </w:rPr>
      </w:pPr>
      <w:r w:rsidRPr="00D14B1A">
        <w:rPr>
          <w:rFonts w:eastAsia="Times New Roman" w:cs="Arial"/>
          <w:szCs w:val="24"/>
        </w:rPr>
        <w:t>Demonstrate a multi dimensional awareness of individual and social responsibility to act ethically and with integrity in a diverse, global society.</w:t>
      </w:r>
    </w:p>
    <w:p w:rsidR="00D14B1A" w:rsidRPr="00D14B1A" w:rsidRDefault="00D14B1A" w:rsidP="00D14B1A">
      <w:pPr>
        <w:ind w:left="360"/>
        <w:contextualSpacing/>
        <w:jc w:val="left"/>
        <w:rPr>
          <w:rFonts w:eastAsia="Times New Roman" w:cs="Arial"/>
          <w:szCs w:val="24"/>
        </w:rPr>
      </w:pPr>
    </w:p>
    <w:p w:rsidR="00D14B1A" w:rsidRPr="00D14B1A" w:rsidRDefault="00D14B1A" w:rsidP="00D14B1A">
      <w:pPr>
        <w:numPr>
          <w:ilvl w:val="0"/>
          <w:numId w:val="2"/>
        </w:numPr>
        <w:jc w:val="left"/>
        <w:rPr>
          <w:rFonts w:eastAsia="Times New Roman" w:cs="Arial"/>
          <w:b/>
          <w:szCs w:val="24"/>
        </w:rPr>
      </w:pPr>
      <w:r w:rsidRPr="00D14B1A">
        <w:rPr>
          <w:rFonts w:eastAsia="Times New Roman" w:cs="Arial"/>
          <w:b/>
          <w:szCs w:val="24"/>
        </w:rPr>
        <w:t xml:space="preserve">Professional Competence </w:t>
      </w:r>
    </w:p>
    <w:p w:rsidR="00D14B1A" w:rsidRPr="00D14B1A" w:rsidRDefault="00D14B1A" w:rsidP="00243AE0">
      <w:pPr>
        <w:ind w:left="360"/>
        <w:contextualSpacing/>
        <w:jc w:val="left"/>
        <w:rPr>
          <w:rFonts w:eastAsia="Times New Roman" w:cs="Arial"/>
          <w:szCs w:val="24"/>
        </w:rPr>
      </w:pPr>
      <w:r w:rsidRPr="00D14B1A">
        <w:rPr>
          <w:rFonts w:eastAsia="Times New Roman" w:cs="Arial"/>
          <w:szCs w:val="24"/>
        </w:rPr>
        <w:t>Apply skills appropriate to program objectives a</w:t>
      </w:r>
      <w:r w:rsidR="00243AE0">
        <w:rPr>
          <w:rFonts w:eastAsia="Times New Roman" w:cs="Arial"/>
          <w:szCs w:val="24"/>
        </w:rPr>
        <w:t xml:space="preserve">nd employ critical reasoning to </w:t>
      </w:r>
      <w:r w:rsidRPr="00D14B1A">
        <w:rPr>
          <w:rFonts w:eastAsia="Times New Roman" w:cs="Arial"/>
          <w:szCs w:val="24"/>
        </w:rPr>
        <w:t>co</w:t>
      </w:r>
      <w:r w:rsidRPr="00D14B1A">
        <w:rPr>
          <w:rFonts w:eastAsia="Times New Roman" w:cs="Arial"/>
          <w:szCs w:val="24"/>
        </w:rPr>
        <w:t>n</w:t>
      </w:r>
      <w:r w:rsidRPr="00D14B1A">
        <w:rPr>
          <w:rFonts w:eastAsia="Times New Roman" w:cs="Arial"/>
          <w:szCs w:val="24"/>
        </w:rPr>
        <w:t>tribute to one's field and profession</w:t>
      </w:r>
    </w:p>
    <w:p w:rsidR="00D14B1A" w:rsidRPr="00D14B1A" w:rsidRDefault="00D14B1A" w:rsidP="00D14B1A"/>
    <w:sectPr w:rsidR="00D14B1A" w:rsidRPr="00D14B1A" w:rsidSect="007D69AF">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B1A" w:rsidRDefault="00D14B1A" w:rsidP="00D14B1A">
      <w:pPr>
        <w:spacing w:line="240" w:lineRule="auto"/>
      </w:pPr>
      <w:r>
        <w:separator/>
      </w:r>
    </w:p>
  </w:endnote>
  <w:endnote w:type="continuationSeparator" w:id="0">
    <w:p w:rsidR="00D14B1A" w:rsidRDefault="00D14B1A" w:rsidP="00D14B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849583"/>
      <w:docPartObj>
        <w:docPartGallery w:val="Page Numbers (Bottom of Page)"/>
        <w:docPartUnique/>
      </w:docPartObj>
    </w:sdtPr>
    <w:sdtEndPr>
      <w:rPr>
        <w:noProof/>
      </w:rPr>
    </w:sdtEndPr>
    <w:sdtContent>
      <w:p w:rsidR="00D14B1A" w:rsidRDefault="007D69AF">
        <w:pPr>
          <w:pStyle w:val="Footer"/>
          <w:jc w:val="center"/>
        </w:pPr>
        <w:r>
          <w:fldChar w:fldCharType="begin"/>
        </w:r>
        <w:r w:rsidR="00D14B1A">
          <w:instrText xml:space="preserve"> PAGE   \* MERGEFORMAT </w:instrText>
        </w:r>
        <w:r>
          <w:fldChar w:fldCharType="separate"/>
        </w:r>
        <w:r w:rsidR="00482C44">
          <w:rPr>
            <w:noProof/>
          </w:rPr>
          <w:t>1</w:t>
        </w:r>
        <w:r>
          <w:rPr>
            <w:noProof/>
          </w:rPr>
          <w:fldChar w:fldCharType="end"/>
        </w:r>
      </w:p>
    </w:sdtContent>
  </w:sdt>
  <w:p w:rsidR="00D14B1A" w:rsidRDefault="00D14B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B1A" w:rsidRDefault="00D14B1A" w:rsidP="00D14B1A">
      <w:pPr>
        <w:spacing w:line="240" w:lineRule="auto"/>
      </w:pPr>
      <w:r>
        <w:separator/>
      </w:r>
    </w:p>
  </w:footnote>
  <w:footnote w:type="continuationSeparator" w:id="0">
    <w:p w:rsidR="00D14B1A" w:rsidRDefault="00D14B1A" w:rsidP="00D14B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7312A"/>
    <w:multiLevelType w:val="hybridMultilevel"/>
    <w:tmpl w:val="1F66D4CE"/>
    <w:lvl w:ilvl="0" w:tplc="149E3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213DFD"/>
    <w:multiLevelType w:val="hybridMultilevel"/>
    <w:tmpl w:val="5C06D90C"/>
    <w:lvl w:ilvl="0" w:tplc="2F30C5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14579"/>
    <w:multiLevelType w:val="hybridMultilevel"/>
    <w:tmpl w:val="E6B08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hdrShapeDefaults>
    <o:shapedefaults v:ext="edit" spidmax="6145"/>
  </w:hdrShapeDefaults>
  <w:footnotePr>
    <w:footnote w:id="-1"/>
    <w:footnote w:id="0"/>
  </w:footnotePr>
  <w:endnotePr>
    <w:endnote w:id="-1"/>
    <w:endnote w:id="0"/>
  </w:endnotePr>
  <w:compat/>
  <w:rsids>
    <w:rsidRoot w:val="008D5963"/>
    <w:rsid w:val="00023FD6"/>
    <w:rsid w:val="000E0AC6"/>
    <w:rsid w:val="001630DA"/>
    <w:rsid w:val="00204FF1"/>
    <w:rsid w:val="00243AE0"/>
    <w:rsid w:val="00441D13"/>
    <w:rsid w:val="00482C44"/>
    <w:rsid w:val="00492885"/>
    <w:rsid w:val="00525A2F"/>
    <w:rsid w:val="005A3F27"/>
    <w:rsid w:val="005D6403"/>
    <w:rsid w:val="006E1E71"/>
    <w:rsid w:val="007D69AF"/>
    <w:rsid w:val="00834064"/>
    <w:rsid w:val="008D5963"/>
    <w:rsid w:val="00911379"/>
    <w:rsid w:val="00A46367"/>
    <w:rsid w:val="00B12973"/>
    <w:rsid w:val="00CC650E"/>
    <w:rsid w:val="00D14B1A"/>
    <w:rsid w:val="00F341B2"/>
    <w:rsid w:val="00FA1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367"/>
    <w:pPr>
      <w:spacing w:after="0" w:line="36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B1A"/>
    <w:pPr>
      <w:tabs>
        <w:tab w:val="center" w:pos="4680"/>
        <w:tab w:val="right" w:pos="9360"/>
      </w:tabs>
      <w:spacing w:line="240" w:lineRule="auto"/>
    </w:pPr>
  </w:style>
  <w:style w:type="character" w:customStyle="1" w:styleId="HeaderChar">
    <w:name w:val="Header Char"/>
    <w:basedOn w:val="DefaultParagraphFont"/>
    <w:link w:val="Header"/>
    <w:uiPriority w:val="99"/>
    <w:rsid w:val="00D14B1A"/>
    <w:rPr>
      <w:rFonts w:ascii="Arial" w:hAnsi="Arial"/>
      <w:sz w:val="24"/>
    </w:rPr>
  </w:style>
  <w:style w:type="paragraph" w:styleId="Footer">
    <w:name w:val="footer"/>
    <w:basedOn w:val="Normal"/>
    <w:link w:val="FooterChar"/>
    <w:uiPriority w:val="99"/>
    <w:unhideWhenUsed/>
    <w:rsid w:val="00D14B1A"/>
    <w:pPr>
      <w:tabs>
        <w:tab w:val="center" w:pos="4680"/>
        <w:tab w:val="right" w:pos="9360"/>
      </w:tabs>
      <w:spacing w:line="240" w:lineRule="auto"/>
    </w:pPr>
  </w:style>
  <w:style w:type="character" w:customStyle="1" w:styleId="FooterChar">
    <w:name w:val="Footer Char"/>
    <w:basedOn w:val="DefaultParagraphFont"/>
    <w:link w:val="Footer"/>
    <w:uiPriority w:val="99"/>
    <w:rsid w:val="00D14B1A"/>
    <w:rPr>
      <w:rFonts w:ascii="Arial" w:hAnsi="Arial"/>
      <w:sz w:val="24"/>
    </w:rPr>
  </w:style>
  <w:style w:type="paragraph" w:styleId="ListParagraph">
    <w:name w:val="List Paragraph"/>
    <w:basedOn w:val="Normal"/>
    <w:uiPriority w:val="34"/>
    <w:qFormat/>
    <w:rsid w:val="005D6403"/>
    <w:pPr>
      <w:ind w:left="720"/>
      <w:contextualSpacing/>
    </w:pPr>
  </w:style>
  <w:style w:type="character" w:styleId="Hyperlink">
    <w:name w:val="Hyperlink"/>
    <w:basedOn w:val="DefaultParagraphFont"/>
    <w:uiPriority w:val="99"/>
    <w:unhideWhenUsed/>
    <w:rsid w:val="005D640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5273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p.uspto.gov/RDMS/TMEP/curr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pto.gov/web/offices/pac/mpep/index.html" TargetMode="External"/><Relationship Id="rId12" Type="http://schemas.openxmlformats.org/officeDocument/2006/relationships/hyperlink" Target="mailto:aeasley@wsul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inoza@wsulaw.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pyright.gov/1201/2015/registers-recommendation.pdf" TargetMode="External"/><Relationship Id="rId4" Type="http://schemas.openxmlformats.org/officeDocument/2006/relationships/webSettings" Target="webSettings.xml"/><Relationship Id="rId9" Type="http://schemas.openxmlformats.org/officeDocument/2006/relationships/hyperlink" Target="https://www.copyright.gov/comp3/comp-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1673</Words>
  <Characters>9539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Richey</dc:creator>
  <cp:lastModifiedBy>Administrator</cp:lastModifiedBy>
  <cp:revision>2</cp:revision>
  <dcterms:created xsi:type="dcterms:W3CDTF">2017-01-04T01:57:00Z</dcterms:created>
  <dcterms:modified xsi:type="dcterms:W3CDTF">2017-01-04T01:57:00Z</dcterms:modified>
</cp:coreProperties>
</file>